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BANZSAL</w:t>
            </w:r>
          </w:p>
          <w:p w:rsidR="00C275A3" w:rsidRDefault="00CA6B74" w:rsidP="00C275A3">
            <w:pPr>
              <w:pStyle w:val="Hallgatokepzes"/>
            </w:pPr>
            <w:r w:rsidRPr="001067CD">
              <w:rPr>
                <w:i/>
              </w:rPr>
              <w:t>banzsal.alexandra2002@gmail.com</w:t>
            </w:r>
            <w:r w:rsidRPr="001067CD">
              <w:rPr>
                <w:i/>
              </w:rPr>
              <w:br/>
            </w:r>
            <w:r w:rsidR="00A96AEC">
              <w:t>Commerce and marketing</w:t>
            </w:r>
            <w:r w:rsidR="00A96AEC">
              <w:br/>
            </w:r>
            <w:r w:rsidR="00E77B23">
              <w:t>BSc, 5.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Attila Kasznár PhD</w:t>
            </w:r>
          </w:p>
          <w:p w:rsidR="00DB4822" w:rsidRDefault="00DB4822" w:rsidP="00BA6BAF">
            <w:pPr>
              <w:pStyle w:val="Konzulensektitulus"/>
            </w:pPr>
            <w:r w:rsidRPr="00DB4822">
              <w:t>head of department, 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impact of COVID-19 on Hungarian-Chinese economic relations, primarily on electric car production, which represents a new dimension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COVID-19, Hungarian-Chinese economic relations, carbon neutrality, electric car, battery production</w:t>
      </w:r>
      <w:r>
        <w:t xml:space="preserve"/>
      </w: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In my thesis, I examined the economic effects of the COVID-19 in terms of Hungarian-Chinese economic relations, and I also assessed the future possibilities of electric car production in Hungary, which has gained special relevance because of this and represents a new dimension.</w:t>
      </w:r>
      <w:r>
        <w:rPr>
          <w:color w:val="000000"/>
          <w:sz w:val="24"/>
          <w:szCs w:val="24"/>
        </w:rPr>
        <w:br/>
        <w:t xml:space="preserve">In order to draw appropriate conclusions, I analyzed the main import-export economic data of six years, on the basis of which it became refutable that the COVID-19 crisis destroyed economic relations in all segments. In my further analyses, I wanted to prove that the European Union's strategic plan for achieving carbon neutrality is fundamentally flawed in the current economic environment, and I also pointed out the path that could lead to success. At this point, the question arises as to what kind of environmental elements should be taken into account in a realistic view of Hungary's transition to electromobility. The data requested from the National Tax and Customs Administration provided an answer to this as well. Investigating the Hungarian relationship further, I obtained authentic information from the Chinese NIO manufacturer in the framework of an interview, and my research and analysis work was assisted by Mr. András Zoltán Balogh, a scientific and technological diplomat working in Beijing. These reports gave answers to many interesting questions, among which the NIO's opinion regarding the Hungarian bureaucracy stands out, as well as how the Chinese generally relate to Hungary, and what kind of cooperation there is between the two countries at the scientific and technological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74768">
    <w:multiLevelType w:val="hybridMultilevel"/>
    <w:lvl w:ilvl="0" w:tplc="65393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74768">
    <w:abstractNumId w:val="18874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753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