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HEGEDÜS</w:t>
            </w:r>
          </w:p>
          <w:p w:rsidR="00C275A3" w:rsidRDefault="00CA6B74" w:rsidP="00C275A3">
            <w:pPr>
              <w:pStyle w:val="Hallgatokepzes"/>
            </w:pPr>
            <w:r w:rsidRPr="001067CD">
              <w:rPr>
                <w:i/>
              </w:rPr>
              <w:t>dan.hegedus.2001@gmail.com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Prof. Dr. Anna Dunay Törő, PhD</w:t>
            </w:r>
          </w:p>
          <w:p w:rsidR="00DB4822" w:rsidRDefault="00DB4822" w:rsidP="00BA6BAF">
            <w:pPr>
              <w:pStyle w:val="Konzulensektitulus"/>
            </w:pPr>
            <w:r w:rsidRPr="00DB4822">
              <w:t>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ANALYSING OF GAMES WORKSHOP GROUP USING BUSINESS MODEL CANVAS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models; canvas; tabletop wargames; annual report</w:t>
      </w:r>
      <w:r>
        <w:t xml:space="preserve"/>
      </w:r>
    </w:p>
    <w:p>
      <w:pPr>
        <w:widowControl w:val="on"/>
        <w:pBdr/>
        <w:spacing w:before="240" w:after="240" w:line="240" w:lineRule="auto"/>
        <w:ind w:left="0" w:right="0"/>
        <w:jc w:val="left"/>
      </w:pPr>
      <w:r>
        <w:rPr>
          <w:color w:val="000000"/>
          <w:sz w:val="24"/>
          <w:szCs w:val="24"/>
        </w:rPr>
        <w:t xml:space="preserve">Are adults pushing mini-figures around and throwing dice on a table for hours? Can such a hobby be turned into a successful business? How does such a business operate? The Games Workshop Group, which has been designing, manufacturing, and selling miniature wargames for 48 years, now generates over half a million US dollars in revenue annually.</w:t>
      </w:r>
      <w:r>
        <w:rPr>
          <w:color w:val="000000"/>
          <w:sz w:val="24"/>
          <w:szCs w:val="24"/>
        </w:rPr>
        <w:br/>
        <w:t xml:space="preserve">The aim of this study is to describe the company's business model using a one-page business model, the Business Model Canvas. During the study, both a classic and a modified Business Model Canvas were created. The classic model was based solely on the company’s 2022-2023 annual report, while the modified model was developed using the details from the report and a survey filled out by Hungarian customers.</w:t>
      </w:r>
      <w:r>
        <w:rPr>
          <w:color w:val="000000"/>
          <w:sz w:val="24"/>
          <w:szCs w:val="24"/>
        </w:rPr>
        <w:br/>
        <w:t xml:space="preserve">A comparison of the two models reveals differences between the company's general market and the Hungarian market, from which it can be concluded that the company lacks its own retail stores in Hungary and the associated impacts.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04733">
    <w:multiLevelType w:val="hybridMultilevel"/>
    <w:lvl w:ilvl="0" w:tplc="91299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04733">
    <w:abstractNumId w:val="75304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158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