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VALÉRIA TÜNDE VICSIK</w:t>
            </w:r>
          </w:p>
          <w:p w:rsidR="00C275A3" w:rsidRDefault="00CA6B74" w:rsidP="00C275A3">
            <w:pPr>
              <w:pStyle w:val="Hallgatokepzes"/>
            </w:pPr>
            <w:r w:rsidRPr="001067CD">
              <w:rPr>
                <w:i/>
              </w:rPr>
              <w:t>vicsiktundi@gmail.com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Judit Bárczi PhD</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Mercedes-Benz investment, development from the project management side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Investment; Profitability indicators; Risk analysis; Financial indicators; Return on investment</w:t>
      </w:r>
      <w:r>
        <w:t xml:space="preserve"/>
      </w:r>
    </w:p>
    <w:p>
      <w:pPr>
        <w:widowControl w:val="on"/>
        <w:pBdr/>
        <w:spacing w:before="240" w:after="240" w:line="240" w:lineRule="auto"/>
        <w:ind w:left="0" w:right="0"/>
        <w:jc w:val="left"/>
      </w:pPr>
      <w:r>
        <w:rPr>
          <w:color w:val="000000"/>
          <w:sz w:val="24"/>
          <w:szCs w:val="24"/>
        </w:rPr>
        <w:t xml:space="preserve">My thesis examines the investments and developments of the Mercedes-Benz EQB electric vehicle project from the perspective of project management and economic considerations. Investments are key to economic growth, especially in the field of technological advancement.</w:t>
      </w:r>
    </w:p>
    <w:p>
      <w:pPr>
        <w:widowControl w:val="on"/>
        <w:pBdr/>
        <w:spacing w:before="240" w:after="240" w:line="240" w:lineRule="auto"/>
        <w:ind w:left="0" w:right="0"/>
        <w:jc w:val="left"/>
      </w:pPr>
      <w:r>
        <w:rPr>
          <w:color w:val="000000"/>
          <w:sz w:val="24"/>
          <w:szCs w:val="24"/>
        </w:rPr>
        <w:t xml:space="preserve">The goal of the project is to launch electric vehicle production at the Kecskemét plant, aimed at advancing sustainable mobility and technological development. The total investment cost amounts to €486.55 million, 77.3% of which was financed by the Hungarian government through a nonrefundable grant. The project's profitability indicators are robust: the Internal Rate of Return is 28.22%, the Return on Investment is 60.75%, the Profitability Index is 29.02%, and the Net Present Value is €141.21 million.</w:t>
      </w:r>
    </w:p>
    <w:p>
      <w:pPr>
        <w:widowControl w:val="on"/>
        <w:pBdr/>
        <w:spacing w:before="240" w:after="240" w:line="240" w:lineRule="auto"/>
        <w:ind w:left="0" w:right="0"/>
        <w:jc w:val="left"/>
      </w:pPr>
      <w:r>
        <w:rPr>
          <w:color w:val="000000"/>
          <w:sz w:val="24"/>
          <w:szCs w:val="24"/>
        </w:rPr>
        <w:t xml:space="preserve">One of the most notable outcomes of the project is its remarkably short payback period of just 1 year and 7 months, supporting the economic viability of the investment. Based on the risk analysis and sensitivity testing, the project is stable, as changes in cash flow have little impact on profitability, and adjustments in the discount rate do not significantly affect the results. The optimistic scenario leads to quicker payback, while the adverse scenario results in a longer payback period. According to the break-even analysis, 18,345 EQBs need to be sold to cover the costs.</w:t>
      </w:r>
    </w:p>
    <w:p>
      <w:pPr>
        <w:widowControl w:val="on"/>
        <w:pBdr/>
        <w:spacing w:before="240" w:after="240" w:line="240" w:lineRule="auto"/>
        <w:ind w:left="0" w:right="0"/>
        <w:jc w:val="left"/>
      </w:pPr>
      <w:r>
        <w:rPr>
          <w:color w:val="000000"/>
          <w:sz w:val="24"/>
          <w:szCs w:val="24"/>
        </w:rPr>
        <w:t xml:space="preserve">The project's economic and financial indicators confirm its success, as the company's commitment to sustainable mobility is clearly reflected. The investment not only brought economic benefits to the company but also to Hungary, increasing employment and boosting exports.</w:t>
      </w:r>
    </w:p>
    <w:p>
      <w:pPr>
        <w:widowControl w:val="on"/>
        <w:pBdr/>
        <w:spacing w:before="240" w:after="240" w:line="240" w:lineRule="auto"/>
        <w:ind w:left="0" w:right="0"/>
        <w:jc w:val="left"/>
      </w:pPr>
      <w:r>
        <w:rPr>
          <w:color w:val="000000"/>
          <w:sz w:val="24"/>
          <w:szCs w:val="24"/>
        </w:rPr>
        <w:t xml:space="preserve">The thesis includes a detailed risk analysis, examining both financial and operational challenges, concluding that the investment was stable.</w:t>
      </w:r>
    </w:p>
    <w:p>
      <w:pPr>
        <w:widowControl w:val="on"/>
        <w:pBdr/>
        <w:spacing w:before="240" w:after="240" w:line="240" w:lineRule="auto"/>
        <w:ind w:left="0" w:right="0"/>
        <w:jc w:val="left"/>
      </w:pPr>
      <w:r>
        <w:rPr>
          <w:color w:val="000000"/>
          <w:sz w:val="24"/>
          <w:szCs w:val="24"/>
        </w:rPr>
        <w:t xml:space="preserve">Based on the findings, I recommend optimizing the supply chain for electric car battery procurement and implementing more sustainable battery production solutions to improve costs and project profitability. Additionally, integrating eco-friendly manufacturing technologies, such as the use of renewable energy sources and increasing the recycling of production waste, should be encouraged to enhance the sustainability of the manufacturing processes.</w:t>
      </w:r>
    </w:p>
    <w:p>
      <w:pPr>
        <w:widowControl w:val="on"/>
        <w:pBdr/>
        <w:spacing w:before="240" w:after="240" w:line="240" w:lineRule="auto"/>
        <w:ind w:left="0" w:right="0"/>
        <w:jc w:val="left"/>
      </w:pPr>
      <w:r>
        <w:rPr>
          <w:color w:val="000000"/>
          <w:sz w:val="24"/>
          <w:szCs w:val="24"/>
        </w:rPr>
        <w:t xml:space="preserve">In conclusion, the investment in the Mercedes-Benz EQB production has been successful and contributed to advancing a sustainable future. Financial indicators such as IRR, ROI, and NPV confirm the economic viability of the project and ensure the success of future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72021">
    <w:multiLevelType w:val="hybridMultilevel"/>
    <w:lvl w:ilvl="0" w:tplc="90005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72021">
    <w:abstractNumId w:val="96772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127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