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HORVÁTH</w:t>
            </w:r>
          </w:p>
          <w:p w:rsidR="00C275A3" w:rsidRDefault="00CA6B74" w:rsidP="00C275A3">
            <w:pPr>
              <w:pStyle w:val="Hallgatokepzes"/>
            </w:pPr>
            <w:r w:rsidRPr="001067CD">
              <w:rPr>
                <w:i/>
              </w:rPr>
              <w:t>fanniuszas@gmail.com</w:t>
            </w:r>
            <w:r w:rsidRPr="001067CD">
              <w:rPr>
                <w:i/>
              </w:rPr>
              <w:br/>
            </w:r>
            <w:r w:rsidR="00A96AEC">
              <w:t>Business Administration and Management</w:t>
            </w:r>
            <w:r w:rsidR="00A96AEC">
              <w:br/>
            </w:r>
            <w:r w:rsidR="00E77B23">
              <w:t>BA, 4. semester</w:t>
            </w:r>
          </w:p>
          <w:p w:rsidR="00C265CE" w:rsidRPr="009E5FF1" w:rsidRDefault="00E77B23" w:rsidP="00BA6BAF">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Anita Antal</w:t>
            </w:r>
          </w:p>
          <w:p w:rsidR="00DB4822" w:rsidRDefault="00DB4822" w:rsidP="00BA6BAF">
            <w:pPr>
              <w:pStyle w:val="Konzulensektitulus"/>
            </w:pPr>
            <w:r w:rsidRPr="00DB4822">
              <w:t>associate professor,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Liquidity or liquidation? The role and assessment of selvency in forecasting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solvency; cash flow; bankruptcy; forecast; model</w:t>
      </w:r>
      <w:r>
        <w:t xml:space="preserve"/>
      </w:r>
    </w:p>
    <w:p>
      <w:pPr>
        <w:widowControl w:val="on"/>
        <w:pBdr/>
        <w:spacing w:before="240" w:after="240" w:line="240" w:lineRule="auto"/>
        <w:ind w:left="0" w:right="0"/>
        <w:jc w:val="left"/>
      </w:pPr>
      <w:r>
        <w:rPr>
          <w:color w:val="000000"/>
          <w:sz w:val="24"/>
          <w:szCs w:val="24"/>
        </w:rPr>
        <w:t xml:space="preserve">The foundation of a company's operations is its solvency, particularly short-term liquidity, which is essential for continuity. Inadequate liquidity increases the risk of bankruptcy, as demonstrated by the liquidity issues faced by approximately half of businesses during the Covid-19 pandemic and the surge in liquidation proceedings by the end of 2022. Although the exact causes are difficult to identify, it is likely that solvency trends played a significant role.</w:t>
      </w:r>
    </w:p>
    <w:p>
      <w:pPr>
        <w:widowControl w:val="on"/>
        <w:pBdr/>
        <w:spacing w:before="240" w:after="240" w:line="240" w:lineRule="auto"/>
        <w:ind w:left="0" w:right="0"/>
        <w:jc w:val="left"/>
      </w:pPr>
      <w:r>
        <w:rPr>
          <w:color w:val="000000"/>
          <w:sz w:val="24"/>
          <w:szCs w:val="24"/>
        </w:rPr>
        <w:t xml:space="preserve">The aim of this research is to analyze the predictive capabilities of traditional and non-traditional methods for assessing corporate solvency, with a focus on the effectiveness of specific traditional and cash flow-based indicators. The study is conducted on a selected sample of domestic companies undergoing liquidation proceedings, and it includes testing and evaluating the performance of selected bankruptcy prediction models.</w:t>
      </w:r>
    </w:p>
    <w:p>
      <w:pPr>
        <w:widowControl w:val="on"/>
        <w:pBdr/>
        <w:spacing w:before="240" w:after="240" w:line="240" w:lineRule="auto"/>
        <w:ind w:left="0" w:right="0"/>
        <w:jc w:val="left"/>
      </w:pPr>
      <w:r>
        <w:rPr>
          <w:color w:val="000000"/>
          <w:sz w:val="24"/>
          <w:szCs w:val="24"/>
        </w:rPr>
        <w:t xml:space="preserve">Research questions:</w:t>
      </w:r>
    </w:p>
    <w:p>
      <w:pPr>
        <w:pStyle w:val="ListParagraphPHPDOCX"/>
        <w:numPr>
          <w:ilvl w:val="0"/>
          <w:numId w:val="48920496"/>
        </w:numPr>
        <w:spacing w:before="0" w:after="0" w:line="240" w:lineRule="auto"/>
        <w:contextualSpacing/>
        <w:jc w:val="left"/>
        <w:rPr>
          <w:sz w:val="24"/>
          <w:szCs w:val="24"/>
        </w:rPr>
      </w:pPr>
      <w:r>
        <w:rPr>
          <w:color w:val="000000"/>
          <w:sz w:val="24"/>
          <w:szCs w:val="24"/>
        </w:rPr>
        <w:t xml:space="preserve">What traditional and cash flow-based indicators can measure solvency?</w:t>
      </w:r>
    </w:p>
    <w:p>
      <w:pPr>
        <w:pStyle w:val="ListParagraphPHPDOCX"/>
        <w:numPr>
          <w:ilvl w:val="0"/>
          <w:numId w:val="48920496"/>
        </w:numPr>
        <w:spacing w:before="0" w:after="0" w:line="240" w:lineRule="auto"/>
        <w:contextualSpacing/>
        <w:jc w:val="left"/>
        <w:rPr>
          <w:sz w:val="24"/>
          <w:szCs w:val="24"/>
        </w:rPr>
      </w:pPr>
      <w:r>
        <w:rPr>
          <w:color w:val="000000"/>
          <w:sz w:val="24"/>
          <w:szCs w:val="24"/>
        </w:rPr>
        <w:t xml:space="preserve">Are traditional or cash flow-based indicators more predictive for companies subject to liquidation?</w:t>
      </w:r>
    </w:p>
    <w:p>
      <w:pPr>
        <w:pStyle w:val="ListParagraphPHPDOCX"/>
        <w:numPr>
          <w:ilvl w:val="0"/>
          <w:numId w:val="48920496"/>
        </w:numPr>
        <w:spacing w:before="0" w:after="0" w:line="240" w:lineRule="auto"/>
        <w:contextualSpacing/>
        <w:jc w:val="left"/>
        <w:rPr>
          <w:sz w:val="24"/>
          <w:szCs w:val="24"/>
        </w:rPr>
      </w:pPr>
      <w:r>
        <w:rPr>
          <w:color w:val="000000"/>
          <w:sz w:val="24"/>
          <w:szCs w:val="24"/>
        </w:rPr>
        <w:t xml:space="preserve">Is there a correlation between the results of traditional and cash flow-based solvency measures?</w:t>
      </w:r>
    </w:p>
    <w:p>
      <w:pPr>
        <w:pStyle w:val="ListParagraphPHPDOCX"/>
        <w:numPr>
          <w:ilvl w:val="0"/>
          <w:numId w:val="48920496"/>
        </w:numPr>
        <w:spacing w:before="0" w:after="0" w:line="240" w:lineRule="auto"/>
        <w:contextualSpacing/>
        <w:jc w:val="left"/>
        <w:rPr>
          <w:sz w:val="24"/>
          <w:szCs w:val="24"/>
        </w:rPr>
      </w:pPr>
      <w:r>
        <w:rPr>
          <w:color w:val="000000"/>
          <w:sz w:val="24"/>
          <w:szCs w:val="24"/>
        </w:rPr>
        <w:t xml:space="preserve">What results does a selected international bankruptcy prediction model yield when calculated on traditional and cash flow bases?</w:t>
      </w:r>
    </w:p>
    <w:p>
      <w:pPr>
        <w:pStyle w:val="ListParagraphPHPDOCX"/>
        <w:numPr>
          <w:ilvl w:val="0"/>
          <w:numId w:val="48920496"/>
        </w:numPr>
        <w:spacing w:before="0" w:after="0" w:line="240" w:lineRule="auto"/>
        <w:contextualSpacing/>
        <w:jc w:val="left"/>
        <w:rPr>
          <w:sz w:val="24"/>
          <w:szCs w:val="24"/>
        </w:rPr>
      </w:pPr>
      <w:r>
        <w:rPr>
          <w:color w:val="000000"/>
          <w:sz w:val="24"/>
          <w:szCs w:val="24"/>
        </w:rPr>
        <w:t xml:space="preserve">Would a domestic bankruptcy prediction model provide better forecasts compared to the selected international model?</w:t>
      </w:r>
    </w:p>
    <w:p>
      <w:pPr>
        <w:widowControl w:val="on"/>
        <w:pBdr/>
        <w:spacing w:before="240" w:after="240" w:line="240" w:lineRule="auto"/>
        <w:ind w:left="0" w:right="0"/>
        <w:jc w:val="left"/>
      </w:pPr>
      <w:r>
        <w:rPr>
          <w:color w:val="000000"/>
          <w:sz w:val="24"/>
          <w:szCs w:val="24"/>
        </w:rPr>
        <w:t xml:space="preserve">Methodologically, the study is an applied, evaluative research that combines exploratory, descriptive, explanatory, and correlational elements. It relies on quantitative data. The primary research analyzes publicly available annual reports of Hungarian companies, while secondary research involves literature reviews, online searches, and database analysis. The data is processed using financial and statistical methods (e.g., correlation analysis).</w:t>
      </w:r>
    </w:p>
    <w:p>
      <w:pPr>
        <w:widowControl w:val="on"/>
        <w:pBdr/>
        <w:spacing w:before="240" w:after="240" w:line="240" w:lineRule="auto"/>
        <w:ind w:left="0" w:right="0"/>
        <w:jc w:val="left"/>
      </w:pPr>
      <w:r>
        <w:rPr>
          <w:color w:val="000000"/>
          <w:sz w:val="24"/>
          <w:szCs w:val="24"/>
        </w:rPr>
        <w:t xml:space="preserve">The findings aim to enhance understanding of the effectiveness of liquidity indicators and provide empirical evaluations of bankruptcy prediction models. This research seeks to contribute to the scientific and practical knowledge available in the field, offering insights that may also benefit corporate practices.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20496">
    <w:multiLevelType w:val="hybridMultilevel"/>
    <w:lvl w:ilvl="0" w:tplc="42894269">
      <w:start w:val="1"/>
      <w:numFmt w:val="decimal"/>
      <w:lvlText w:val="%1."/>
      <w:lvlJc w:val="left"/>
      <w:pPr>
        <w:ind w:left="720" w:hanging="360"/>
      </w:pPr>
    </w:lvl>
    <w:lvl w:ilvl="1" w:tplc="42894269" w:tentative="1">
      <w:start w:val="1"/>
      <w:numFmt w:val="lowerLetter"/>
      <w:lvlText w:val="%2."/>
      <w:lvlJc w:val="left"/>
      <w:pPr>
        <w:ind w:left="1440" w:hanging="360"/>
      </w:pPr>
    </w:lvl>
    <w:lvl w:ilvl="2" w:tplc="42894269" w:tentative="1">
      <w:start w:val="1"/>
      <w:numFmt w:val="lowerRoman"/>
      <w:lvlText w:val="%3."/>
      <w:lvlJc w:val="right"/>
      <w:pPr>
        <w:ind w:left="2160" w:hanging="180"/>
      </w:pPr>
    </w:lvl>
    <w:lvl w:ilvl="3" w:tplc="42894269" w:tentative="1">
      <w:start w:val="1"/>
      <w:numFmt w:val="decimal"/>
      <w:lvlText w:val="%4."/>
      <w:lvlJc w:val="left"/>
      <w:pPr>
        <w:ind w:left="2880" w:hanging="360"/>
      </w:pPr>
    </w:lvl>
    <w:lvl w:ilvl="4" w:tplc="42894269" w:tentative="1">
      <w:start w:val="1"/>
      <w:numFmt w:val="lowerLetter"/>
      <w:lvlText w:val="%5."/>
      <w:lvlJc w:val="left"/>
      <w:pPr>
        <w:ind w:left="3600" w:hanging="360"/>
      </w:pPr>
    </w:lvl>
    <w:lvl w:ilvl="5" w:tplc="42894269" w:tentative="1">
      <w:start w:val="1"/>
      <w:numFmt w:val="lowerRoman"/>
      <w:lvlText w:val="%6."/>
      <w:lvlJc w:val="right"/>
      <w:pPr>
        <w:ind w:left="4320" w:hanging="180"/>
      </w:pPr>
    </w:lvl>
    <w:lvl w:ilvl="6" w:tplc="42894269" w:tentative="1">
      <w:start w:val="1"/>
      <w:numFmt w:val="decimal"/>
      <w:lvlText w:val="%7."/>
      <w:lvlJc w:val="left"/>
      <w:pPr>
        <w:ind w:left="5040" w:hanging="360"/>
      </w:pPr>
    </w:lvl>
    <w:lvl w:ilvl="7" w:tplc="42894269" w:tentative="1">
      <w:start w:val="1"/>
      <w:numFmt w:val="lowerLetter"/>
      <w:lvlText w:val="%8."/>
      <w:lvlJc w:val="left"/>
      <w:pPr>
        <w:ind w:left="5760" w:hanging="360"/>
      </w:pPr>
    </w:lvl>
    <w:lvl w:ilvl="8" w:tplc="42894269" w:tentative="1">
      <w:start w:val="1"/>
      <w:numFmt w:val="lowerRoman"/>
      <w:lvlText w:val="%9."/>
      <w:lvlJc w:val="right"/>
      <w:pPr>
        <w:ind w:left="6480" w:hanging="180"/>
      </w:pPr>
    </w:lvl>
  </w:abstractNum>
  <w:abstractNum w:abstractNumId="48920494">
    <w:multiLevelType w:val="hybridMultilevel"/>
    <w:lvl w:ilvl="0" w:tplc="79489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20494">
    <w:abstractNumId w:val="48920494"/>
  </w:num>
  <w:num w:numId="48920496">
    <w:abstractNumId w:val="489204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88482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