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KIS-KÁDI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kiskadinna@gmail.com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Kiss Gergely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 dinasztikus kötődést kifejező helyszínek és elemek a nápolyi Anjouk dinasztikus reprezentációjában a 13–14. században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mecenatúra, Magyarországi Mária, reprezentáció, dinasztikus szentség, dinasztikus identitás, I. Károly, Nápoly, trecento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témája a nápolyi Anjouk mecenatúrájában megjelenő magyar trónigény. A dolgozatomban a dinasztikus reprezentáció helyszíneivel, a reprezentációhoz köthető műalkotásokkal,</w:t>
      </w:r>
      <w:r>
        <w:rPr>
          <w:color w:val="000000"/>
          <w:sz w:val="24"/>
          <w:szCs w:val="24"/>
        </w:rPr>
        <w:br/>
        <w:t xml:space="preserve">azoknak megrendelőivel és alkotóival, valamint a dinasztikus reprezentáció eszközeivel foglalkozom,</w:t>
      </w:r>
      <w:r>
        <w:rPr>
          <w:color w:val="000000"/>
          <w:sz w:val="24"/>
          <w:szCs w:val="24"/>
        </w:rPr>
        <w:br/>
        <w:t xml:space="preserve">időbeli keretét az Árpád-Anjou kettős házasság létrejötte (1270) és Johanna nápolyi királynő trónra</w:t>
      </w:r>
      <w:r>
        <w:rPr>
          <w:color w:val="000000"/>
          <w:sz w:val="24"/>
          <w:szCs w:val="24"/>
        </w:rPr>
        <w:br/>
        <w:t xml:space="preserve">kerülése (1343) adja. Célom az volt, hogy Anjou birodalmon belül összegyűjtsem a magyar</w:t>
      </w:r>
      <w:r>
        <w:rPr>
          <w:color w:val="000000"/>
          <w:sz w:val="24"/>
          <w:szCs w:val="24"/>
        </w:rPr>
        <w:br/>
        <w:t xml:space="preserve">dinasztiához való kötődést kifejező műalkotásokat, melyeknek elhelyezkedését térképen jelöltem, és</w:t>
      </w:r>
      <w:r>
        <w:rPr>
          <w:color w:val="000000"/>
          <w:sz w:val="24"/>
          <w:szCs w:val="24"/>
        </w:rPr>
        <w:br/>
        <w:t xml:space="preserve">a dinasztia adott tagjához kötöttem őket. Amennyiben a mecénás személye kérdéses, a saját</w:t>
      </w:r>
      <w:r>
        <w:rPr>
          <w:color w:val="000000"/>
          <w:sz w:val="24"/>
          <w:szCs w:val="24"/>
        </w:rPr>
        <w:br/>
        <w:t xml:space="preserve">elméletem vázolom fel ezzel kapcsolatban. Az előadásom ezért részben művészettörténeti jellegű, de</w:t>
      </w:r>
      <w:r>
        <w:rPr>
          <w:color w:val="000000"/>
          <w:sz w:val="24"/>
          <w:szCs w:val="24"/>
        </w:rPr>
        <w:br/>
        <w:t xml:space="preserve">a képzőművészeti alkotások mellett az irodalomban megjelenő reprezentációra is kitérek. A</w:t>
      </w:r>
      <w:r>
        <w:rPr>
          <w:color w:val="000000"/>
          <w:sz w:val="24"/>
          <w:szCs w:val="24"/>
        </w:rPr>
        <w:br/>
        <w:t xml:space="preserve">dinasztikus reprezentáció eszközei legtöbbször a címerek és a dinasztikus szentek ábrázolása voltak,</w:t>
      </w:r>
      <w:r>
        <w:rPr>
          <w:color w:val="000000"/>
          <w:sz w:val="24"/>
          <w:szCs w:val="24"/>
        </w:rPr>
        <w:br/>
        <w:t xml:space="preserve">helyszínei pedig elsősorban a szakrális terek voltak. A dinasztikus reprezentáció nem csupán</w:t>
      </w:r>
      <w:r>
        <w:rPr>
          <w:color w:val="000000"/>
          <w:sz w:val="24"/>
          <w:szCs w:val="24"/>
        </w:rPr>
        <w:br/>
        <w:t xml:space="preserve">Nápolyban, hanem a hatalmi központtól távol eső területeken is megjelent. A dinasztikus identitás kifejezése mellett a dinasztia szentségének hangsúlyozása is megjelent, mint legitimációs erő.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757607">
    <w:multiLevelType w:val="hybridMultilevel"/>
    <w:lvl w:ilvl="0" w:tplc="191354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757607">
    <w:abstractNumId w:val="717576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70651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