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SZENTPÉTERI ZSUZSANNA</w:t>
            </w:r>
          </w:p>
          <w:p w:rsidR="00C275A3" w:rsidRDefault="00CA6B74" w:rsidP="00C275A3">
            <w:pPr>
              <w:pStyle w:val="Hallgatokepzes"/>
            </w:pPr>
            <w:r w:rsidRPr="001067CD">
              <w:rPr>
                <w:i/>
              </w:rPr>
              <w:t>zsuzsanna.szentpeteri@gmail.com</w:t>
            </w:r>
            <w:r w:rsidRPr="001067CD">
              <w:rPr>
                <w:i/>
              </w:rPr>
              <w:br/>
            </w:r>
            <w:r w:rsidR="00A96AEC">
              <w:t>szobrászművész</w:t>
            </w:r>
            <w:r w:rsidR="00A96AEC">
              <w:br/>
            </w:r>
            <w:r w:rsidR="00E77B23">
              <w:t>BA, 7.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Szabó Ádám</w:t>
            </w:r>
          </w:p>
          <w:p w:rsidR="00DB4822" w:rsidRDefault="00DB4822" w:rsidP="00BA6BAF">
            <w:pPr>
              <w:pStyle w:val="Konzulensektitulus"/>
            </w:pPr>
            <w:r w:rsidRPr="00DB4822">
              <w:t>egyetemi docens, MKE</w:t>
            </w:r>
          </w:p>
        </w:tc>
      </w:tr>
      <w:tr w:rsidR="00DB4822" w:rsidTr="00DB4822">
        <w:tc>
          <w:tcPr>
            <w:tcW w:w="9854" w:type="dxa"/>
          </w:tcPr>
          <w:p w:rsidR="00DB4822" w:rsidRPr="00DB4822" w:rsidRDefault="00DB4822" w:rsidP="00BA6BAF">
            <w:pPr>
              <w:pStyle w:val="Konzulenseknev"/>
            </w:pPr>
            <w:r w:rsidRPr="00DB4822">
              <w:t>Dr. habil. Sallai Géza</w:t>
            </w:r>
          </w:p>
          <w:p w:rsidR="00DB4822" w:rsidRDefault="00DB4822" w:rsidP="00BA6BAF">
            <w:pPr>
              <w:pStyle w:val="Konzulensektitulus"/>
            </w:pPr>
            <w:r w:rsidRPr="00DB4822">
              <w:t>egyetemi tanár,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Innen nézve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land-art; anamorfózis; helyspecifikus; art brut; térérzékelés</w:t>
      </w:r>
      <w:r>
        <w:t xml:space="preserve"/>
      </w:r>
    </w:p>
    <w:p>
      <w:pPr>
        <w:widowControl w:val="on"/>
        <w:pBdr/>
        <w:spacing w:before="240" w:after="240" w:line="240" w:lineRule="auto"/>
        <w:ind w:left="0" w:right="0"/>
        <w:jc w:val="left"/>
      </w:pPr>
      <w:r>
        <w:rPr>
          <w:color w:val="000000"/>
          <w:sz w:val="24"/>
          <w:szCs w:val="24"/>
        </w:rPr>
        <w:t xml:space="preserve">A dolgozatban ismertetett munkám témája az érzékelés és a megfigyelő térbeli helyzetének kapcsolata. Több korábbi művészeti gyakorlat és attitűd összekapcsolásával egy art brut jellegű land art alkotást hoztam létre, ami az anamorfikus képek szerkesztési elve mentén készült és mind direkt, mind pedig szimbolikus módon kötődik a helyi közösséghez. Tágabb értelemben az illúziók kutatása révén az érzékelés és az elmefüggetlennek gondolt külvilág látványa közötti viszony ismeretelméleti kérdése érdekel.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70952">
    <w:multiLevelType w:val="hybridMultilevel"/>
    <w:lvl w:ilvl="0" w:tplc="98848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70952">
    <w:abstractNumId w:val="29770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914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