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wurfelhaha@gmail.com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Erdős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általános és társadalmi kapcsolatokért felelős dékánhelyettes,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személyes és nyilvános meghallgatás - avagy, nyitott kapukat az Alkotmánybíróságra?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nyilvánosság; személyes; meghallgatás; tisztességes eljárás; Alkotmánybíróság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témájául a személyes és nyilvános meghallgatás intézményeit választottam, amelyet eddig a taláros testület csak néhányszor alkalmazott. A dolgozat kiindulópontja szerint ez is hozzájárul ahhoz, hogy az Alkotmánybíróságot elefántcsonttoronyként emlegetik.</w:t>
      </w:r>
      <w:r>
        <w:rPr>
          <w:color w:val="000000"/>
          <w:sz w:val="24"/>
          <w:szCs w:val="24"/>
        </w:rPr>
        <w:br/>
        <w:t xml:space="preserve">Közhelyszerű megállapítás, hogy a nyilvánosság követelménye a tisztességes bírósági eljáráshoz való jogból vezethető le. Koránt sem tisztázott azonban, hogy a tisztességes (bírósági) eljáráshoz való jog az Alkotmánybíróságra is vonatkozik-e. Ha igen, akkor a nyilvánosság-követelmény nemcsak a rendes bírósági eljárásra, hanem az Alkotmánybíróság előtti eljárásban is alkalmazandó eljárási garancia. A dolgozat első részében ezért összehasonlítom a rendes bírósági eljárást az alkotmánybírósági eljárással a tisztességes eljárás részjogosultságainak szempontjából, különös tekintettel a felek személyes részvételére és a nyilvánosságra az indítványozó minél aktívabb eljárási részvétele és a nyilvánosság, mint az igazságszolgáltatás felé irányuló társadalmi ellenőrzés fontossága miatt.</w:t>
      </w:r>
      <w:r>
        <w:rPr>
          <w:color w:val="000000"/>
          <w:sz w:val="24"/>
          <w:szCs w:val="24"/>
        </w:rPr>
        <w:br/>
        <w:t xml:space="preserve">A jelenleg hatályos magyar szabályozás bemutatását követően említésszerűen kitérek a német és osztrák gyakorlatra. Ezt követően jogszociológiai szempontból, a bírósági gyakorlat alapján vizsgálom a nyilvánosság szerepét az igazságszolgáltatásban, illetve azt, hogy a taláros testületbe vetett bizalmi index hogyan alakult az elmúlt évtizedekben.</w:t>
      </w:r>
      <w:r>
        <w:rPr>
          <w:color w:val="000000"/>
          <w:sz w:val="24"/>
          <w:szCs w:val="24"/>
        </w:rPr>
        <w:br/>
        <w:t xml:space="preserve">A dolgozat záró részében a jelenlegi szabályozás hiányosságait, hibáit figyelembe véve de lege ferenda javaslatot teszek, amely nyomán a jelenlegi szabályozás hatékonyabbá válhat.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44323">
    <w:multiLevelType w:val="hybridMultilevel"/>
    <w:lvl w:ilvl="0" w:tplc="62776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44323">
    <w:abstractNumId w:val="345443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487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