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NÉMETH</w:t>
            </w:r>
          </w:p>
          <w:p w:rsidR="00C275A3" w:rsidRDefault="00CA6B74" w:rsidP="00C275A3">
            <w:pPr>
              <w:pStyle w:val="Hallgatokepzes"/>
            </w:pPr>
            <w:r w:rsidRPr="001067CD">
              <w:rPr>
                <w:i/>
              </w:rPr>
              <w:t>nemethmartina3@gmail.com</w:t>
            </w:r>
            <w:r w:rsidRPr="001067CD">
              <w:rPr>
                <w:i/>
              </w:rPr>
              <w:br/>
            </w:r>
            <w:r w:rsidR="00A96AEC">
              <w:t>Commerence and Marketing</w:t>
            </w:r>
            <w:r w:rsidR="00A96AEC">
              <w:br/>
            </w:r>
            <w:r w:rsidR="00E77B23">
              <w:t>BSc, 6.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IZABELLA MÁRIA VÉGVÁRI</w:t>
            </w:r>
          </w:p>
          <w:p w:rsidR="00DB4822" w:rsidRDefault="00CA6B74" w:rsidP="004D7940">
            <w:pPr>
              <w:pStyle w:val="Hallgatokepzes"/>
            </w:pPr>
            <w:r w:rsidRPr="001067CD">
              <w:rPr>
                <w:i/>
              </w:rPr>
              <w:t>vgvrbella16@gmail.com</w:t>
            </w:r>
            <w:bookmarkStart w:id="1" w:name="_GoBack"/>
            <w:bookmarkEnd w:id="1"/>
            <w:r w:rsidRPr="001067CD">
              <w:br/>
            </w:r>
            <w:r w:rsidR="00C275A3">
              <w:t>Commerence and Marketing</w:t>
            </w:r>
            <w:r w:rsidR="00A96AEC">
              <w:br/>
              <w:t>BSc, 6.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Business and Economics</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Petra Koltai</w:t>
            </w:r>
          </w:p>
          <w:p w:rsidR="00DB4822" w:rsidRDefault="00DB4822" w:rsidP="00BA6BAF">
            <w:pPr>
              <w:pStyle w:val="Konzulensektitulus"/>
            </w:pPr>
            <w:r w:rsidRPr="00DB4822">
              <w:t>associate professor, deputy head of department, Vice Dean for International Affairs and Accreditation, SZE KGK</w:t>
            </w:r>
          </w:p>
        </w:tc>
      </w:tr>
      <w:tr w:rsidR="00DB4822" w:rsidTr="00DB4822">
        <w:tc>
          <w:tcPr>
            <w:tcW w:w="9854" w:type="dxa"/>
          </w:tcPr>
          <w:p w:rsidR="00DB4822" w:rsidRPr="00DB4822" w:rsidRDefault="00DB4822" w:rsidP="00BA6BAF">
            <w:pPr>
              <w:pStyle w:val="Konzulenseknev"/>
            </w:pPr>
            <w:r w:rsidRPr="00DB4822">
              <w:t>Dr. Tamás Vinkóczi</w:t>
            </w:r>
          </w:p>
          <w:p w:rsidR="00DB4822" w:rsidRDefault="00DB4822" w:rsidP="00BA6BAF">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Hidden Secrets of KPIs: TikTok Tactics for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TikTok, KPI, Impulse Buying</w:t>
      </w:r>
      <w:r>
        <w:t xml:space="preserve"/>
      </w:r>
    </w:p>
    <w:p>
      <w:pPr>
        <w:widowControl w:val="on"/>
        <w:pBdr/>
        <w:spacing w:before="240" w:after="240" w:line="240" w:lineRule="auto"/>
        <w:ind w:left="0" w:right="0"/>
        <w:jc w:val="left"/>
      </w:pPr>
      <w:r>
        <w:rPr>
          <w:color w:val="000000"/>
          <w:sz w:val="24"/>
          <w:szCs w:val="24"/>
        </w:rPr>
        <w:t xml:space="preserve">Our research focuses on the TikTok application as a modern social media platform and its impact on consumer behaviour. TikTok offers not only entertainment and communication but also a unique opportunity for self-expression and networking. The aim of our study was to explore the factors influencing customer behaviour on a short video platform and to develop a key indicator to measure the participation of potential consumers in the TikTok shopping flow. Factor analysis and regression analysis played a prominent role in our research methodology. We identified four key factors: impulse purchase motivation, purchase decision support (utility), product/service recommendation, and identification. These factors, developed through factor analysis and supplemented with weights determined via linear regression, form our key indicator, which we validated on a sample of 100 respondents. </w:t>
      </w:r>
      <w:r>
        <w:rPr>
          <w:color w:val="000000"/>
          <w:sz w:val="24"/>
          <w:szCs w:val="24"/>
        </w:rPr>
        <w:br/>
        <w:t xml:space="preserve">Our findings showed that 90% of the feedback provided accurate estimates for our regression-based model, indicating the methodology’s effectiveness. In our validation experiment with university students, we measured an acceptance rate of more than 90% among TikTok users and over 80% among users of other social media platforms. This result highlights the statistical reliability of the factor-based groups and the applicability of the model in capturing TikTok sentiment and consumer behaviour.The methodology's potential application can enable companies to respond more flexibly to changing market conditions and optimise their marketing strategies in the digital space. However, continuous follow-up and repeated measurements are essential components of this type of marketing analysis.</w:t>
      </w:r>
      <w:r>
        <w:rPr>
          <w:color w:val="000000"/>
          <w:sz w:val="24"/>
          <w:szCs w:val="24"/>
        </w:rPr>
        <w:br/>
        <w:t xml:space="preserve">The results of our study can support corporate marketing professionals by significantly contributing to strategic decision-making based on subjective consumer value judgements. Overall, our findings provide valuable insights into consumer behaviour in the digital marketing domain and can inform the development of effective TikTok strategies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14092">
    <w:multiLevelType w:val="hybridMultilevel"/>
    <w:lvl w:ilvl="0" w:tplc="39935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14092">
    <w:abstractNumId w:val="74514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327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