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BARCZA</w:t>
            </w:r>
          </w:p>
          <w:p w:rsidR="00C275A3" w:rsidRDefault="00CA6B74" w:rsidP="00C275A3">
            <w:pPr>
              <w:pStyle w:val="Hallgatokepzes"/>
            </w:pPr>
            <w:r w:rsidRPr="001067CD">
              <w:rPr>
                <w:i/>
              </w:rPr>
              <w:t>boncsi4@gmail.com</w:t>
            </w:r>
            <w:r w:rsidRPr="001067CD">
              <w:rPr>
                <w:i/>
              </w:rPr>
              <w:br/>
            </w:r>
            <w:r w:rsidR="00A96AEC">
              <w:t>tourism and catering</w:t>
            </w:r>
            <w:r w:rsidR="00A96AEC">
              <w:br/>
            </w:r>
            <w:r w:rsidR="00E77B23">
              <w:t>BSc, 4.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Anikó Husz</w:t>
            </w:r>
          </w:p>
          <w:p w:rsidR="00DB4822" w:rsidRDefault="00DB4822" w:rsidP="00BA6BAF">
            <w:pPr>
              <w:pStyle w:val="Konzulensektitulus"/>
            </w:pPr>
            <w:r w:rsidRPr="00DB4822">
              <w:t>senior lecturer,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Benedictine regeneRATIOn: The Benedictine Order in the light of digitalisation and tourism in the XXI. century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Ordo Sancti Benedicti; values; world heritage; digital technology; web graphic design</w:t>
      </w:r>
      <w:r>
        <w:t xml:space="preserve"/>
      </w:r>
    </w:p>
    <w:p>
      <w:pPr>
        <w:widowControl w:val="on"/>
        <w:pBdr/>
        <w:spacing w:before="240" w:after="240" w:line="240" w:lineRule="auto"/>
        <w:ind w:left="0" w:right="0"/>
        <w:jc w:val="left"/>
      </w:pPr>
      <w:r>
        <w:rPr>
          <w:color w:val="000000"/>
          <w:sz w:val="24"/>
          <w:szCs w:val="24"/>
        </w:rPr>
        <w:t xml:space="preserve">The research examines the Benedictine Order, focusing primarily on three locations. For comparative purposes, additional locations are also briefly referred to (e.g. Győr and the Benedictines of Győr).</w:t>
      </w:r>
    </w:p>
    <w:p>
      <w:pPr>
        <w:widowControl w:val="on"/>
        <w:pBdr/>
        <w:spacing w:before="240" w:after="240" w:line="240" w:lineRule="auto"/>
        <w:ind w:left="0" w:right="0"/>
        <w:jc w:val="left"/>
      </w:pPr>
      <w:r>
        <w:rPr>
          <w:color w:val="000000"/>
          <w:sz w:val="24"/>
          <w:szCs w:val="24"/>
        </w:rPr>
        <w:t xml:space="preserve">All three locations discussed in my dissertation are abbeys that currently operate based on the Rule of Saint Benedict and are either UNESCO World Heritage Sites or candidates for the Tentative List.</w:t>
      </w:r>
    </w:p>
    <w:p>
      <w:pPr>
        <w:widowControl w:val="on"/>
        <w:pBdr/>
        <w:spacing w:before="240" w:after="240" w:line="240" w:lineRule="auto"/>
        <w:ind w:left="0" w:right="0"/>
        <w:jc w:val="left"/>
      </w:pPr>
      <w:r>
        <w:rPr>
          <w:color w:val="000000"/>
          <w:sz w:val="24"/>
          <w:szCs w:val="24"/>
        </w:rPr>
        <w:t xml:space="preserve">My primary aim is to investigate how three different locations in three different countries (the Monte Cassino Abbey in Italy, the Melk Abbey in Austria, and the Pannonhalma Archabbey in Hungary) respond to challenges in the XXI.century. How can these monasteries maintain their original roles while simultaneously becoming constantly developing tourist attractions?</w:t>
      </w:r>
    </w:p>
    <w:p>
      <w:pPr>
        <w:widowControl w:val="on"/>
        <w:pBdr/>
        <w:spacing w:before="240" w:after="240" w:line="240" w:lineRule="auto"/>
        <w:ind w:left="0" w:right="0"/>
        <w:jc w:val="left"/>
      </w:pPr>
      <w:r>
        <w:rPr>
          <w:color w:val="000000"/>
          <w:sz w:val="24"/>
          <w:szCs w:val="24"/>
        </w:rPr>
        <w:t xml:space="preserve">In my research, I explore the main attractions for tourists and how the monks experience these changes internally. I analyze what solutions they can come up with to meet the needs of both visitors and themselves. Additionally, I examine the tasks, opportunities, and potential challenges brought about by the appearance of digitalization.</w:t>
      </w:r>
    </w:p>
    <w:p>
      <w:pPr>
        <w:widowControl w:val="on"/>
        <w:pBdr/>
        <w:spacing w:before="240" w:after="240" w:line="240" w:lineRule="auto"/>
        <w:ind w:left="0" w:right="0"/>
        <w:jc w:val="left"/>
      </w:pPr>
      <w:r>
        <w:rPr>
          <w:color w:val="000000"/>
          <w:sz w:val="24"/>
          <w:szCs w:val="24"/>
        </w:rPr>
        <w:t xml:space="preserve">My research methodology is divided into two main parts. First of all, I made in-depth interviews with monks living in the abbeys. Secondly, I created a website analysis based on a set of criteria I developed, aiming to compare and evaluate the websites of the three destinations. Following the website analysis, I proposed recommendations to make these sites more attractive to tourism target groups.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92432">
    <w:multiLevelType w:val="hybridMultilevel"/>
    <w:lvl w:ilvl="0" w:tplc="50739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92432">
    <w:abstractNumId w:val="53392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901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