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IBOLYA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mibolyak0918@gmail.com</w:t>
            </w:r>
            <w:r w:rsidRPr="001067CD">
              <w:rPr>
                <w:i/>
              </w:rPr>
              <w:br/>
            </w:r>
            <w:r w:rsidR="00A96AEC">
              <w:t>Történelem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Bartók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Magyarokra irányuló szovjet röplap propaganda a második világháború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propaganda; második világháború; röplap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3 részből áll. Az első rész a propaganda általános jellemzőivel, a történetének rövid ismertetésével és a háborús propaganda bemutatásával foglalkozik. Ennek a résznek az a célja, hogy a szovjet propaganda elemzését, valamint a megfelelő szaktudást segítse.</w:t>
      </w:r>
      <w:r>
        <w:rPr>
          <w:color w:val="000000"/>
          <w:sz w:val="24"/>
          <w:szCs w:val="24"/>
        </w:rPr>
        <w:br/>
        <w:t xml:space="preserve">A második rész a második világháború hadi eseményeivel foglalkozik, elsősorban a magyarok szereplésével a fronton és a szovjet front eseményeivel. Ennek célja a történelmi háttér bemutatása, valamint a röplapokban szereplő hadi események későbbi vizsgálatát segítendő.</w:t>
      </w:r>
      <w:r>
        <w:rPr>
          <w:color w:val="000000"/>
          <w:sz w:val="24"/>
          <w:szCs w:val="24"/>
        </w:rPr>
        <w:br/>
        <w:t xml:space="preserve">A dolgozat harmadik és egyben utolsó része foglalkozik a legfontosabb résszel: a röplapokkal. Ebben a részben mutatom be a röplapok általános jellemzőit, a magyaroknak szánt szovjet propaganda jellemzőit, valamint csoportosítom és jellemzem a röplapokat a megjelenés éve és formai sajátosságok szerint.</w:t>
      </w:r>
      <w:r>
        <w:rPr>
          <w:color w:val="000000"/>
          <w:sz w:val="24"/>
          <w:szCs w:val="24"/>
        </w:rPr>
        <w:br/>
        <w:t xml:space="preserve">Az első röplapok 1942-ből származnak, ezek általános jellegüket tekintve elrettentőbbek, amely jelleg még 1943-ban is jelen van. Egyfajta törés 1944-ben jelenik meg, leginkább a szovjetek Magyarországra érkezésével. A határ átlépése előtt leginkább eseményleírás, a győzelmek kihangsúlyozása zajlik, míg a határ átlépése után egyre nagyobb hangsúlyt kap a mindennapi élet visszaállása. 1945-ben már a mindennapi élet, a német vereségek és az Ideiglenes Nemzeti Kormány van középpontban.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52711">
    <w:multiLevelType w:val="hybridMultilevel"/>
    <w:lvl w:ilvl="0" w:tplc="12896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52711">
    <w:abstractNumId w:val="44252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993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