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BOLLÓK BOTOND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bollokb13@gmail.com</w:t>
            </w:r>
            <w:r w:rsidRPr="001067CD">
              <w:rPr>
                <w:i/>
              </w:rPr>
              <w:br/>
            </w:r>
            <w:r w:rsidR="00A96AEC">
              <w:t>Történelem</w:t>
            </w:r>
            <w:r w:rsidR="00A96AEC">
              <w:br/>
            </w:r>
            <w:r w:rsidR="00E77B23">
              <w:t>BA, 6.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Eszterházy Károly Katolikus Egyetem</w:t>
            </w:r>
            <w:r w:rsidR="00C275A3">
              <w:br/>
            </w:r>
            <w:r w:rsidR="00DB4822">
              <w:t>Bölcsészettudományi és Művészeti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Prof. Dr. Pap Jószef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EKKE BMK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Vakolók a lapokon. A dualizmus kori szabadkőművesség megjelenése az egri sajtótermékekben (1863-1914)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Szabadkőművesség; Sajtó; Eger; Dualizmus; Szabadkőműves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magyar szabadkőművesség a dualizmus időszakában élte virágkorát. Szervezeti keretei ekkor érte el a legnagyobb kiterjedését. Többezer tagja között jelen voltak a korszak legjelentősebb politikai, kulturális és társadalmi elit jeles képviselői. A mozgalom működése elsősorban a jótékonykodásban, és a polgárosodás kiteljesedésének a megsegítésében nyilvánult meg. Bár kezdetben a mozgalom igyekezett elhatárolódni a politikai szerepvállalástól, tagjai között a korszak politikai elitjének több jelentős képviselője is jelen volt. Megítélésükre nagy hatást gyakoroltak az 1890-es évek egyházpolitikai vitái, illetve a polgári radikalizmus erősödése, mely a szabadkőművesség szemléletmódjára is nagy hatással volt. Ezek a tényezők gyakran megjelennek a korabeli sajtóban, legyen szó országos, vagy helyi, politikai, vagy felekezeti lapokról. Eger városában bár a mozgalom nem volt jelen, sajtójában már igen korán megjelent a szabadkőműves-ellenes szemlélet. Dolgozatomban azt vizsgálom, hogy a fontosabb helyi ellenzéki, keresztény-konzervatív, illetve kormánypárti hírlapok hasábjain milyen formában jelent meg a mozgalom, mint téma. Milyen gyakorisággal, illetve milyen sajtó által megjelenített témakörrel kapcsolatban merült fel a szabadkőművesség jelenléte. Emellett célom még három Eger városához és sajtójához köthető történést bemutatni, melynek meghatározó eleme volt a szabadkőművesség vélelmezett egyházellenes és társadalomromboló tevékenység. Legyen szó Pulszky Ferenc 1889-ben tervezett egri előadásól, az egri főreáliskola tanárainak 1911-es botrányáról, vagy Samassa József egri érsek és a mozgalom viszonyáról.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0224062">
    <w:multiLevelType w:val="hybridMultilevel"/>
    <w:lvl w:ilvl="0" w:tplc="8555877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0224062">
    <w:abstractNumId w:val="7022406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9109889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