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BENCE</w:t>
            </w:r>
          </w:p>
          <w:p w:rsidR="00C275A3" w:rsidRDefault="00CA6B74" w:rsidP="00C275A3">
            <w:pPr>
              <w:pStyle w:val="Hallgatokepzes"/>
            </w:pPr>
            <w:r w:rsidRPr="001067CD">
              <w:rPr>
                <w:i/>
              </w:rPr>
              <w:t>tothbence1100@gmail.com</w:t>
            </w:r>
            <w:r w:rsidRPr="001067CD">
              <w:rPr>
                <w:i/>
              </w:rPr>
              <w:br/>
            </w:r>
            <w:r w:rsidR="00A96AEC">
              <w:t>politikatudományok</w:t>
            </w:r>
            <w:r w:rsidR="00A96AEC">
              <w:br/>
            </w:r>
            <w:r w:rsidR="00E77B23">
              <w:t>BA, 6.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Krisztina</w:t>
            </w:r>
          </w:p>
          <w:p w:rsidR="00DB4822" w:rsidRDefault="00DB4822" w:rsidP="00BA6BAF">
            <w:pPr>
              <w:pStyle w:val="Konzulensektitulus"/>
            </w:pPr>
            <w:r w:rsidRPr="00DB4822">
              <w:t>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visegrádi országok európai uniós tagságának értékelése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visegrádi országok; Európai Unió; európai integráció; politika</w:t>
      </w:r>
      <w:r>
        <w:t xml:space="preserve"/>
      </w:r>
    </w:p>
    <w:p>
      <w:pPr>
        <w:widowControl w:val="on"/>
        <w:pBdr/>
        <w:spacing w:before="240" w:after="240" w:line="240" w:lineRule="auto"/>
        <w:ind w:left="0" w:right="0"/>
        <w:jc w:val="left"/>
      </w:pPr>
      <w:r>
        <w:rPr>
          <w:color w:val="000000"/>
          <w:sz w:val="24"/>
          <w:szCs w:val="24"/>
        </w:rPr>
        <w:t xml:space="preserve">Dolgozatom alapját a visegrádi országok történelmének egyik legfontosabb eseményének 20. évfordulója adja, a sikeres csatlakozás az Európai Unióhoz. Dolgozatom főbb kutatási kérdései és azok megválaszolása és összehasonlítása az EU tagság elérését megelőző integrációs időszakot, valamint az első 20 év uniós tagság időintervallumát foglalja magába. Ilyen központi kérdés volt, hogy mennyire homogén a visegrádi együttműködés, és milyen különbségek és hasonlóságok merülnek fel az elemzett időközök keretein belül. Továbbá az integrációs időszak bemutatásának legfontosabb kérdése volt, hogy:” Milyen nehéz volt a négy országnak kiszakadni a Szovjetunió érdekszférájából, és meggyőzni az Európai Uniót arról, hogy közép-kelet-európai országok vágya, hogy csatlakozzanak az európai integrációhoz.” A legnagyobb periódust felölelő része a dolgozatomnak, hogy a 20 éves Európai Unió tagság alatt milyen jogi, politikai, gazdasági és társadalmi változások alakultak ki és annak elemzése és összehasonlítása, hogy a hatalmas lelkesedésből és álmokból, hogyan jutottak el a vizsgált országok a mai módosult Unióval kapcsolatos bizalmi elképzeléseire. A kutatási kérdéseim megválaszolásához és a téma feldolgozáshoz kvalitatív forráselemzést és összehasonlító elemzést végeztem, felhasználva a témával kapcsolatos magyar és angol nyelvű szakirodalmi forrásokat, valamint primer forrásként uniós és V4 dokumentumokat.</w:t>
      </w:r>
      <w:r>
        <w:rPr>
          <w:color w:val="000000"/>
          <w:sz w:val="24"/>
          <w:szCs w:val="24"/>
        </w:rPr>
        <w:br/>
        <w:t xml:space="preserve">Saját eredményem közé sorolom, hogy a dolgozatom feltárja azokat a különbségeket a vizsgált alrendszerekben, amelyről alapvetőleg azt gondolhatnánk, hogy az integrációs „közös út” megtétele után és az EU tagság elérésének szigorú szabályainak és követelményeinek teljesítése mellett hasonló Európa-politikai nézet alakul ki. Dolgozatom rámutat, hogy az első 20 év uniós tagság eseményei és a belpolitikai változásai mekkora hatással voltak a „visegrádi négyek” bel- és külpolitikai irányvonalainak változására, és a társadalom megítélésére az Európai Unióval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34876">
    <w:multiLevelType w:val="hybridMultilevel"/>
    <w:lvl w:ilvl="0" w:tplc="18425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34876">
    <w:abstractNumId w:val="49634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772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