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olahrebeka11@gmail.com</w:t>
            </w:r>
            <w:r w:rsidRPr="001067CD">
              <w:rPr>
                <w:i/>
              </w:rPr>
              <w:br/>
            </w:r>
            <w:r w:rsidR="00A96AEC">
              <w:t>nemzetközi közszolgálati kapcsolatok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döntéshozatal lecsapódása a magyar külügyi igazgatásban, Magyarország Kolozsvári és Isztambuli Főkonzulátusának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külügyi igazgatás, nemzetpolitika, bevándorláspolitika, konzuli igazgatás, magyar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globalizálódó világunkban megnövekedett a külföldre utazók és a külföldre költözők száma, mely megalapozza az egyes konzuli intézmények jelenlétét, amelyek az anyaország kinyújtott karjaként segítik a fogadó államban tartózkodókat. Az egyes térségekben kialakuló konfliktusok, esetleges természeti katasztrófák növelik a konzulátusok szerepét a külügyi igazgatásban, az állampolgárok védelmének érdekében. A jogszabályi háttér és a releváns politika bemutatása után a dolgozat a magyar külügyi igazgatást és konzuli tevékenységet helyezi párhuzamba, különös tekintette a Kolozsvári és az Isztambuli Főkonzulátusok szerepvállalására a magyar külpolitika mentén. A kutatás előbb a Kolozsvári Főkonzulátus tevékenységeit elemzi, a klasszikus feladatok feltárása mellett helyet kap a külhoni magyarság kérdésköre is. Kolozsvár sajátossága, hogy a bilaterális kapcsolatok ápolásával együtt, aktívan részt vesz a kulturális diplomáciában, elősegítve ezzel a magyar identitás megerősítését. A kutatás második részében Isztambul ügyvitelei kerülnek feltárásra, ezeknek jelentős része a vízumpolitikára épül, melyet az uniós irányelvek mentén alakítottak ki, ezen belül mozog a magyar jogalkotás. A vízumpolitika mellett helyet kapnak az olyan politikai prioritások, mint a külgazdaság vagy az országimázs.</w:t>
      </w:r>
      <w:r>
        <w:rPr>
          <w:color w:val="000000"/>
          <w:sz w:val="24"/>
          <w:szCs w:val="24"/>
        </w:rPr>
        <w:br/>
        <w:t xml:space="preserve">A kutatás empirikus adatokra támaszkodik, célja, hogy feltárja a konzuli szolgálatok működését, megvizsgálja azok létjogosultságát a külpolitika tekintetében, hiszen a konzuli igazgatás elsősorban közigazgtaási tevékenység. Összességében megállapítható, hogy nincs külpolitika belpolitika nélkül; mind a két célhelyszín tekintetében Magyarország számára fontos ügyvitelek kerültek feltárásra, melyet egy összehasonlító elemzéssel zár az ötödik fejezet. A dolgozat megpróbál kitekintést nyújtani a konzuli igazgatás jövőjére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33184">
    <w:multiLevelType w:val="hybridMultilevel"/>
    <w:lvl w:ilvl="0" w:tplc="16651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33184">
    <w:abstractNumId w:val="80933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641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