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TAMÁS</w:t>
            </w:r>
          </w:p>
          <w:p w:rsidR="00C275A3" w:rsidRDefault="00CA6B74" w:rsidP="00C275A3">
            <w:pPr>
              <w:pStyle w:val="Hallgatokepzes"/>
            </w:pPr>
            <w:r w:rsidRPr="001067CD">
              <w:rPr>
                <w:i/>
              </w:rPr>
              <w:t>fekete.laszlot@gmail.com</w:t>
            </w:r>
            <w:r w:rsidRPr="001067CD">
              <w:rPr>
                <w:i/>
              </w:rPr>
              <w:br/>
            </w:r>
            <w:r w:rsidR="00A96AEC">
              <w:t>Közgazdálkodás és közpolitika</w:t>
            </w:r>
            <w:r w:rsidR="00A96AEC">
              <w:br/>
            </w:r>
            <w:r w:rsidR="00E77B23">
              <w:t>MA, 4.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Orbán Endre</w:t>
            </w:r>
          </w:p>
          <w:p w:rsidR="00DB4822" w:rsidRDefault="00DB4822" w:rsidP="00BA6BAF">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Válságok által épül Európa? Az Európai Unió válságainak és válságkezelésének integrációelméleti megközelítése, valamint a migrációs és klímaválság komparatív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Európai Unió; polikrízis; integrációelméletek; migrációs válság; klímaválság</w:t>
      </w:r>
      <w:r>
        <w:t xml:space="preserve"/>
      </w:r>
    </w:p>
    <w:p>
      <w:pPr>
        <w:widowControl w:val="on"/>
        <w:pBdr/>
        <w:spacing w:before="240" w:after="240" w:line="240" w:lineRule="auto"/>
        <w:ind w:left="0" w:right="0"/>
        <w:jc w:val="left"/>
      </w:pPr>
      <w:r>
        <w:rPr>
          <w:color w:val="000000"/>
          <w:sz w:val="24"/>
          <w:szCs w:val="24"/>
        </w:rPr>
        <w:t xml:space="preserve">Jean Monnet, az európai integráció egyik alapító atyja a fél évszázada kiadott emlékirataiban fogalmazta meg híressé vált tételét, amely szerint Európa válságok sorozata által fog felépülni. Az európai közpolitikák elmúlt bő másfél évtizedét meghatározó „polikrízis” hatásai nyomán ugrásszerű gyarapodásnak indult az ezen elképzelés részletkérdéseit változatos aspektusokból vizsgáló szakirodalom. Vajon a kortárs krízisek milyen hatást gyakorolnak az Európai Unió belső dinamikáira és fejlődési irányaira? Egyes válságok miért erősítik meg, míg mások gyengítik az integrációt? Kutatásom az ezen kérdések köré szerveződő kortárs nemzetközi diskurzushoz három megközelítés alkamazásával kíván hozzájárulni.</w:t>
      </w:r>
      <w:r>
        <w:rPr>
          <w:color w:val="000000"/>
          <w:sz w:val="24"/>
          <w:szCs w:val="24"/>
        </w:rPr>
        <w:br/>
        <w:t xml:space="preserve">Egyrészről négy klasszikus integrációelmélet válságokra vonatkozó előfeltevéseit tekinti át, és a mellett érvel, hogy a jelenkori krízisek komplex hatásait egyik iskola sem képes önmagában megragadni. Megközelítéseik szintetizálása révén dolgozatom ezért egy olyan teoretikus vizsgálati keret felállítására vállalkozik, amely elősegíti az Európai Unió válságai és válságkezelése nyomán működésbe lépő endogén folyamatok értelmezését, valamint a jövőbeli krízisek hatásai tekintetében predikciók megfogalmazását teszi lehetővé.</w:t>
      </w:r>
      <w:r>
        <w:rPr>
          <w:color w:val="000000"/>
          <w:sz w:val="24"/>
          <w:szCs w:val="24"/>
        </w:rPr>
        <w:br/>
        <w:t xml:space="preserve">Másrészről dolgozatom az integráció legfontosabb, kormányközi jogalkotó testületében, az Európai Unió Tanácsában 2014 és 2023 között lefolytatott mintegy 940 szavazást és közel 26.000 tagállami szavazatot teszi feltáró jellegű kvantitatív elemzés tárgyává. Ennek eredményeként megállapítható, hogy a „polikrízis” korszak válságai által a transznacionális viszonyokra gyakorolt hatások a közösségi jog- és közpolitika-alkotás folyamatában is tetten érhetők mindenekelőtt a tagállamok ellenző szavazási gyakoriságán, valamint az integráció belső konfliktustengelyének átrendeződésén keresztül.</w:t>
      </w:r>
      <w:r>
        <w:rPr>
          <w:color w:val="000000"/>
          <w:sz w:val="24"/>
          <w:szCs w:val="24"/>
        </w:rPr>
        <w:br/>
        <w:t xml:space="preserve">Harmadrészről kutatásom két kortárs krízis illusztrációs célokat szolgáló esettanulmányára támaszkodva teszteli az elméleti keretből következő feltevések érvényességét. Habár a migrációs válság és a klímaválság felmerülése, lefolyása és hatásai merőben különböznek egymástól, a teoretikus modell érzékletesen mutat rá, hogy eltérő sajátosságaik hogyan befolyásolták a válságkezelés logikáját. Ezáltal pedig magyarázatot nyújt arra, hogy a működésbe lépett közösségi döntéshozatali szcenáriók a migrációs válság esetében miért vezettek a centrifugális erők dominanciájához, miközben a klímaválság kezelése során utat engedtek a centripetális mechanizmusok érvényesülésének.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00353">
    <w:multiLevelType w:val="hybridMultilevel"/>
    <w:lvl w:ilvl="0" w:tplc="33529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00353">
    <w:abstractNumId w:val="497003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158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