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UNGER PÉTER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ungerpetya@gmail.com</w:t>
            </w:r>
            <w:r w:rsidRPr="001067CD">
              <w:rPr>
                <w:i/>
              </w:rPr>
              <w:br/>
            </w:r>
            <w:r w:rsidR="00A96AEC">
              <w:t>Vezetés és szervezés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Fűrész Diána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EURÓPAI LABDARÚGÁS VERSENYKIEGYENSÚLYOZOTTSÁGÁNAK ALAKULÁSA AZ ELMÚLT ÉVTIZEDBEN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sport; labdarúgás; versenykiegyensúlyozottság; sportgazdaság; erőkoncentráció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európai labdarúgásban nagy szerepet játszanak a Big Five ligák. Ezen ligák top csapatai nemzetközi kupákban is részt vesznek, amelyek nagy nézettséget és érdeklődést generálnak a futballrajongók körében. Európa számos országában működnek professzionális labdarúgó-bajnokságok, amelyek közül a legjelentősebbek az angol Premier League, a spanyol LaLiga, az olasz Serie A, a német Bundesliga és a francia Ligue 1.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tanulmányban alaposan megvizsgáltam azt, hogy az európai kontinens öt legnépszerűbb ligájában hogyan alakult a versenykiegyensúlyozottság, milyen mértékben volt jelen a competitive balance (CB). Egyben a dolgozat céljaként és hipotézisként azt is megvizsgáltam, hogy az orosz-ukrán háború hatással volt-e az európai labdarúgás versenykiegyensúlyozottságára és a kutatásban megvizsgált ligák végső tabelláinak kialakulására.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maga egy módszertani vizsgálaton alapuló dolgozat, amiben a normalizált Herfindahl-Hirschmann index (HHI) vagy más néven HRCB mutató került kiszámításra, továbbá szekunder kutatásból származó adatok kerültek feldolgozásra, valamint szakirodalmakból és tudományos cikkekből vett részletekből, elemzésekből került kidolgozásra a tanulmány.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eredményei alapján elmondható, hogy az általam megvizsgált időszakban (2013/14-es szezontól a 2022/23-as szezonig) az olasz Serie A minősült a legkevésbe kiegyensúlyozott bajnokságnak, még a francia Ligue 1 volt a leginkább</w:t>
      </w:r>
      <w:r>
        <w:rPr>
          <w:color w:val="000000"/>
          <w:sz w:val="24"/>
          <w:szCs w:val="24"/>
        </w:rPr>
        <w:br/>
        <w:t xml:space="preserve">kiegyensúlyozott liga azt általam kiszámított normalizált mutató alapján.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általam kapott eredményekből, arra a következtetésre jutottam, hogy a 2022-ben kitört orosz-ukrán konfliktus nem volt szignifikáns hatással a competitive balance-ra, hiszen hogy a 2022/23-as szezon vonatkozásában öt bajnokságból háromban a normalizált HHI értékei csökkentek, kettő bajnokságban emelkedett az érték az előző (2021/22) szezonhoz képest. Mindezek alapján nem mondható el egyértelműen, hogy a konfliktus valóban hatással volt az öt nagy európai bajnokság versenykiegyensúlyozottságára.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900601">
    <w:multiLevelType w:val="hybridMultilevel"/>
    <w:lvl w:ilvl="0" w:tplc="444398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900601">
    <w:abstractNumId w:val="769006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01275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