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UNGER</w:t>
            </w:r>
          </w:p>
          <w:p w:rsidR="00C275A3" w:rsidRDefault="00CA6B74" w:rsidP="00C275A3">
            <w:pPr>
              <w:pStyle w:val="Hallgatokepzes"/>
            </w:pPr>
            <w:r w:rsidRPr="001067CD">
              <w:rPr>
                <w:i/>
              </w:rPr>
              <w:t>ungerpetya@gmail.com</w:t>
            </w:r>
            <w:r w:rsidRPr="001067CD">
              <w:rPr>
                <w:i/>
              </w:rPr>
              <w:br/>
            </w:r>
            <w:r w:rsidR="00A96AEC">
              <w:t>Economist in Management and Leadership</w:t>
            </w:r>
            <w:r w:rsidR="00A96AEC">
              <w:br/>
            </w:r>
            <w:r w:rsidR="00E77B23">
              <w:t>MSc, 4.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Diána Fűrész</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OF COMPETITIVE BALANCE IN EUROPEAN FOOTBALL OVER THE LAST DECADE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 football; competitive balance, sports economics, concentration</w:t>
      </w:r>
      <w:r>
        <w:t xml:space="preserve"/>
      </w:r>
    </w:p>
    <w:p>
      <w:pPr>
        <w:widowControl w:val="on"/>
        <w:pBdr/>
        <w:spacing w:before="240" w:after="240" w:line="240" w:lineRule="auto"/>
        <w:ind w:left="0" w:right="0"/>
        <w:jc w:val="left"/>
      </w:pPr>
      <w:r>
        <w:rPr>
          <w:color w:val="000000"/>
          <w:sz w:val="24"/>
          <w:szCs w:val="24"/>
        </w:rPr>
        <w:t xml:space="preserve">In European football, the Big Five leagues play a significant role. The top teams from these leagues also participate in international tournaments, which generating high viewership and interest among football fans. Across Europe, numerous countries have professional football leagues, among which the most significant are the English Premier League, Spanish LaLiga, Italian Serie A, German Bundesliga, and French Ligue 1.</w:t>
      </w:r>
    </w:p>
    <w:p>
      <w:pPr>
        <w:widowControl w:val="on"/>
        <w:pBdr/>
        <w:spacing w:before="240" w:after="240" w:line="240" w:lineRule="auto"/>
        <w:ind w:left="0" w:right="0"/>
        <w:jc w:val="left"/>
      </w:pPr>
      <w:r>
        <w:rPr>
          <w:color w:val="000000"/>
          <w:sz w:val="24"/>
          <w:szCs w:val="24"/>
        </w:rPr>
        <w:t xml:space="preserve">In this study, I thoroughly examined how competitive balance (CB) has evolved in the five most popular leagues on the European continent. Additionally, as the objective and hypothesis of the study, I analyzed whether the Russia-Ukraine war had an impact on the competitive balance in European football and on the final standings of the leagues examined in the research.</w:t>
      </w:r>
    </w:p>
    <w:p>
      <w:pPr>
        <w:widowControl w:val="on"/>
        <w:pBdr/>
        <w:spacing w:before="240" w:after="240" w:line="240" w:lineRule="auto"/>
        <w:ind w:left="0" w:right="0"/>
        <w:jc w:val="left"/>
      </w:pPr>
      <w:r>
        <w:rPr>
          <w:color w:val="000000"/>
          <w:sz w:val="24"/>
          <w:szCs w:val="24"/>
        </w:rPr>
        <w:t xml:space="preserve">The study itself is a methodology-based paper, in which the normalized Herfindahl-Hirschman Index (HHI), also known as the HRCB indicator, was calculated. Furthermore, secondary research data was processed, alongside information extracted from literature and scientific articles, including analyses and details used to develop the study.</w:t>
      </w:r>
    </w:p>
    <w:p>
      <w:pPr>
        <w:widowControl w:val="on"/>
        <w:pBdr/>
        <w:spacing w:before="240" w:after="240" w:line="240" w:lineRule="auto"/>
        <w:ind w:left="0" w:right="0"/>
        <w:jc w:val="left"/>
      </w:pPr>
      <w:r>
        <w:rPr>
          <w:color w:val="000000"/>
          <w:sz w:val="24"/>
          <w:szCs w:val="24"/>
        </w:rPr>
        <w:t xml:space="preserve">Based on the results of the research, it can be concluded that during the period under investigation (from the 2013/14 season to the 2022/23 season), the Italian Serie A was identified as the least balanced league, while the French Ligue 1 proved to be the most balanced league according to the normalized indicator calculated by me.</w:t>
      </w:r>
    </w:p>
    <w:p>
      <w:pPr>
        <w:widowControl w:val="on"/>
        <w:pBdr/>
        <w:spacing w:before="240" w:after="240" w:line="240" w:lineRule="auto"/>
        <w:ind w:left="0" w:right="0"/>
        <w:jc w:val="left"/>
      </w:pPr>
      <w:r>
        <w:rPr>
          <w:color w:val="000000"/>
          <w:sz w:val="24"/>
          <w:szCs w:val="24"/>
        </w:rPr>
        <w:t xml:space="preserve">From the results obtained, I concluded that the Russia-Ukraine conflict, which broke out in 2022, did not have a significant impact on competitive balance. In the 2022/23 season, the normalized HHI values decreased in three of the five leagues compared to the previous (2021/22) season, while the values increased in two leagues. Based on these findings, it cannot be clearly stated that the conflict had a tangible effect on the competitive balance of the five major European leagues.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64825">
    <w:multiLevelType w:val="hybridMultilevel"/>
    <w:lvl w:ilvl="0" w:tplc="14537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64825">
    <w:abstractNumId w:val="43464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149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