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SOLTÉSZ TAMÁS</w:t>
            </w:r>
          </w:p>
          <w:p w:rsidR="00C275A3" w:rsidRDefault="00CA6B74" w:rsidP="00C275A3">
            <w:pPr>
              <w:pStyle w:val="Hallgatokepzes"/>
            </w:pPr>
            <w:r w:rsidRPr="001067CD">
              <w:rPr>
                <w:i/>
              </w:rPr>
              <w:t>tamassoltesz01@gmail.com</w:t>
            </w:r>
            <w:r w:rsidRPr="001067CD">
              <w:rPr>
                <w:i/>
              </w:rPr>
              <w:br/>
            </w:r>
            <w:r w:rsidR="00A96AEC">
              <w:t>jogász</w:t>
            </w:r>
            <w:r w:rsidR="00A96AEC">
              <w:br/>
            </w:r>
            <w:r w:rsidR="00E77B23">
              <w:t>Osztatlan, 6. félév</w:t>
            </w:r>
          </w:p>
          <w:p w:rsidR="00C265CE" w:rsidRPr="009E5FF1" w:rsidRDefault="00E77B23" w:rsidP="00BA6BAF">
            <w:pPr>
              <w:pStyle w:val="Hallgatointezmeny-kar"/>
              <w:rPr>
                <w:b/>
                <w:caps/>
              </w:rPr>
            </w:pPr>
            <w:r>
              <w:t>Debreceni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Pápai-Tarr Ágnes</w:t>
            </w:r>
          </w:p>
          <w:p w:rsidR="00DB4822" w:rsidRDefault="00DB4822" w:rsidP="00BA6BAF">
            <w:pPr>
              <w:pStyle w:val="Konzulensektitulus"/>
            </w:pPr>
            <w:r w:rsidRPr="00DB4822">
              <w:t>egyetemi docens,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Lehetőségek és káros hatások útvesztője – A büntetőjogi elzárás elméleti és gyakorlati problémái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elzárás; szankciótan; büntetéskiszabás; szankciórendszer; büntetőjog</w:t>
      </w:r>
      <w:r>
        <w:t xml:space="preserve"/>
      </w:r>
    </w:p>
    <w:p>
      <w:pPr>
        <w:widowControl w:val="on"/>
        <w:pBdr/>
        <w:spacing w:before="240" w:after="240" w:line="240" w:lineRule="auto"/>
        <w:ind w:left="0" w:right="0"/>
        <w:jc w:val="left"/>
      </w:pPr>
      <w:r>
        <w:rPr>
          <w:color w:val="000000"/>
          <w:sz w:val="24"/>
          <w:szCs w:val="24"/>
        </w:rPr>
        <w:t xml:space="preserve">Az elzárás, mint a személyi szabadság rövid időre történő elvonásával járó büntetés, a 2012. évi C. törvény hatálybalépésével vált újra büntetőjogi szankciórendszerünk részévé. A büntetőjogászok többsége a szankciónem bevezetését már a megismerhető kódextervezetek napvilágra kerülésének idején is fenntartásokkal fogadta, körvonalazva a jogintézménnyel kapcsolatos legfőbb problémákat.</w:t>
      </w:r>
    </w:p>
    <w:p>
      <w:pPr>
        <w:widowControl w:val="on"/>
        <w:pBdr/>
        <w:spacing w:before="240" w:after="240" w:line="240" w:lineRule="auto"/>
        <w:ind w:left="0" w:right="0"/>
        <w:jc w:val="left"/>
      </w:pPr>
      <w:r>
        <w:rPr>
          <w:color w:val="000000"/>
          <w:sz w:val="24"/>
          <w:szCs w:val="24"/>
        </w:rPr>
        <w:t xml:space="preserve">Az új Btk. hatálybalépése óta eltelt bő évtizedben számos írás született a büntetőjogi elzárás anyagi jogi, büntetés-végrehajtási jogi, nemzetközi jogi és jogalkalmazási kérdéseivel kapcsolatban. Jelen dolgozat célja azonban ezeknél összetettebb, hiszen a hazai és nemzetközi szakirodalom téziseiből kiindulva, a magyar bírói gyakorlatban érvényesülő büntetéskiszabási tendenciák feltérképezése révén arra törekszik, hogy átfogó képet adjon az elzárás büntetési rendszerünkben elfoglalt helyéről és annak tipikus, illetve ideális alkalmazási köréről, miközben kritikai szemüvegen keresztül, összefüggéseiben mutatja be a vizsgált szankcióval kapcsolatos elméleti és gyakorlati problémákat, anomáliákat.</w:t>
      </w:r>
    </w:p>
    <w:p>
      <w:pPr>
        <w:widowControl w:val="on"/>
        <w:pBdr/>
        <w:spacing w:before="240" w:after="240" w:line="240" w:lineRule="auto"/>
        <w:ind w:left="0" w:right="0"/>
        <w:jc w:val="left"/>
      </w:pPr>
      <w:r>
        <w:rPr>
          <w:color w:val="000000"/>
          <w:sz w:val="24"/>
          <w:szCs w:val="24"/>
        </w:rPr>
        <w:t xml:space="preserve">Az elzárásra és a rövid tartamú szabadságvesztésre vonatkozó hazai szabályozás orientáló jellegű történeti áttekintését követően a pályamű részletes elemzés útján kíván választ adni az alábbi neuralgikus kérdésekre:</w:t>
      </w:r>
    </w:p>
    <w:p>
      <w:pPr>
        <w:pStyle w:val="ListParagraphPHPDOCX"/>
        <w:numPr>
          <w:ilvl w:val="0"/>
          <w:numId w:val="59162131"/>
        </w:numPr>
        <w:spacing w:before="0" w:after="0" w:line="240" w:lineRule="auto"/>
        <w:contextualSpacing/>
        <w:jc w:val="left"/>
        <w:rPr>
          <w:sz w:val="24"/>
          <w:szCs w:val="24"/>
        </w:rPr>
      </w:pPr>
      <w:r>
        <w:rPr>
          <w:color w:val="000000"/>
          <w:sz w:val="24"/>
          <w:szCs w:val="24"/>
        </w:rPr>
        <w:t xml:space="preserve">Milyen viszonyban áll egymással a vizsgált szankciónem és a szabadságvesztés büntetés? A Btk. Általános és Különös Részi szabályai alapján hol helyezkedik el az elzárás a büntetések rendszerében?</w:t>
      </w:r>
    </w:p>
    <w:p>
      <w:pPr>
        <w:pStyle w:val="ListParagraphPHPDOCX"/>
        <w:numPr>
          <w:ilvl w:val="0"/>
          <w:numId w:val="59162131"/>
        </w:numPr>
        <w:spacing w:before="0" w:after="0" w:line="240" w:lineRule="auto"/>
        <w:contextualSpacing/>
        <w:jc w:val="left"/>
        <w:rPr>
          <w:sz w:val="24"/>
          <w:szCs w:val="24"/>
        </w:rPr>
      </w:pPr>
      <w:r>
        <w:rPr>
          <w:color w:val="000000"/>
          <w:sz w:val="24"/>
          <w:szCs w:val="24"/>
        </w:rPr>
        <w:t xml:space="preserve">Milyen gyakorisággal, mely elkövetői körrel szemben alkalmazza jellemzően a bírói gyakorlat az elzárás büntetést? Milyen jogalkalmazói megfontolások húzódnak meg a büntetéskiszabásra vonatkozó statisztikai adatok alapján feltárt tendenciák mögött?</w:t>
      </w:r>
    </w:p>
    <w:p>
      <w:pPr>
        <w:widowControl w:val="on"/>
        <w:pBdr/>
        <w:spacing w:before="240" w:after="240" w:line="240" w:lineRule="auto"/>
        <w:ind w:left="0" w:right="0"/>
        <w:jc w:val="left"/>
      </w:pPr>
      <w:r>
        <w:rPr>
          <w:color w:val="000000"/>
          <w:sz w:val="24"/>
          <w:szCs w:val="24"/>
        </w:rPr>
        <w:t xml:space="preserve">A kutatási kérdések megválaszolását követően a pályamunka olyan de lege ferenda javaslatokat fogalmaz meg a hazai jogalkalmazás, valamint jogalkotás számára, amelyek hosszú távon előremozdíthatják szankciórendszerünk elzárással kapcsolatban is több ponton megbomlani látszó koherenciáját, és segíthetnek átlendülni a vizsgált büntetési nemmel kapcsolatos, immár évtizedes problémákon.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162131">
    <w:multiLevelType w:val="hybridMultilevel"/>
    <w:lvl w:ilvl="0" w:tplc="633805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162131">
    <w:abstractNumId w:val="591621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25632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