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nagysara0527@gmail.com</w:t>
            </w:r>
            <w:r w:rsidRPr="001067CD">
              <w:rPr>
                <w:i/>
              </w:rPr>
              <w:br/>
            </w:r>
            <w:r w:rsidR="00A96AEC">
              <w:t>Táplálkozástudományi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Marosvölgyi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(gyakornok),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Breitenbach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 ALAPÚ CSECSEMŐTÁPSZEREK LIPID- ÉS ZSÍRSAVANALITIKAI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csecsemőtápszer; zsírsavanalízis; gravimetria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csecsemő- és gyermektápszerek alkalmazása a mai modern korban a fejlődő formuláknak köszönhetően mind a klinikumban, mind a hétköznapokban egyre gyakoribb. Amennyiben az anya szoptatással nem képes a gyermek táplálására, ezek a csecsemők és újszülöttek egyetlen táplálékforrásai. Ebből kifolyólag, vizsgálatunk célja a magyarországi fogyasztói piacon fellelhető por alapú csecsemő- és gyermektápszerek zsírsavösszetételének vizsgálata. Célunk, hogy a gyártó által a csomagoláson feltüntetett adatokat összehasonlítsuk a laboratóriumi vizsgálataink eredményeivel és az aktuálisan érvényes európai előírásokkal.</w:t>
      </w:r>
      <w:r>
        <w:rPr>
          <w:color w:val="000000"/>
          <w:sz w:val="24"/>
          <w:szCs w:val="24"/>
        </w:rPr>
        <w:br/>
        <w:t xml:space="preserve">Kutatásunk típusa laboratóriumi kvantitatív keresztmetszeti vizsgálat, ami a Pécsi Tudományegyetem Bioanalitikai Intézet laboratóriumában történt, 2023 májusától 2024 áprilisáig. A tápszerek közül a por formátumú, csecsemők és újszülöttek számára alkalmas mintákat használtuk fel. A mintavételi eljárás végére 12 féle por alapú tápszer állt rendelkezésünkre. A módszerek között alkalmaztunk gravimetriás eljárást, a lipidek kivonására módosított Bligh &amp; Dyer extrakciót használtunk, valamint a folyamat része volt összetétel vizsgálat és gázkromatográfiai vizsgálat is. Kutatásunk során leíró statisztikai módszereket alkalmazunk.</w:t>
      </w:r>
      <w:r>
        <w:rPr>
          <w:color w:val="000000"/>
          <w:sz w:val="24"/>
          <w:szCs w:val="24"/>
        </w:rPr>
        <w:br/>
        <w:t xml:space="preserve">A gyártó által a csomagoláson feltüntetett adatokat összehasonlítottuk a laboratóriumi vizsgálataink eredményeivel és az aktuálisan érvényes európai előírásokkal. A gyártó által feltüntetett adatok és az általunk 100 ml oldott termékből grammban kiszámolt zsírtartalom szignifikáns eltérést mutatott (p&lt;0,001). Minden tápszer esetében ki tudtuk mutatni a C24:1n-9-at. A zsírsavakra vonatkozó rendeletben meghatározott kritériumoknak minden zsírsav megfelelt. A vizsgált zsírsavak egy esetben sem lépték át a maximális határértéket.</w:t>
      </w:r>
      <w:r>
        <w:rPr>
          <w:color w:val="000000"/>
          <w:sz w:val="24"/>
          <w:szCs w:val="24"/>
        </w:rPr>
        <w:br/>
        <w:t xml:space="preserve">Az eredményeink kiértékelése után elmondhatjuk, hogy sikeresen meg tudtuk vizsgálni a csecsemőtápszerek lipidösszetételének minőségét és mennyiségét. Kutatásunk folytatásaként érdemes lenne nagyobb mintaszámmal elvégezni a vizsgálatokat, valamint más összetevők kimutatását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11869">
    <w:multiLevelType w:val="hybridMultilevel"/>
    <w:lvl w:ilvl="0" w:tplc="81327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11869">
    <w:abstractNumId w:val="78811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914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