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BIRCSÁK ENIKŐ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bircsakenci99@gmail.com</w:t>
            </w:r>
            <w:r w:rsidRPr="001067CD">
              <w:rPr>
                <w:i/>
              </w:rPr>
              <w:br/>
            </w:r>
            <w:r w:rsidR="00A96AEC">
              <w:t>Sportmenedzser</w:t>
            </w:r>
            <w:r w:rsidR="00A96AEC">
              <w:br/>
            </w:r>
            <w:r w:rsidR="00E77B23">
              <w:t>MSc, 4.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Egészségtudományi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Paár Dávid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docens, PTE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PÉNZÜGYI EREDMÉNYESSÉG ÉS A SPORTSZAKMAI SIKEREK KAPCSOLATA A NŐI LABDARÚGÁSBAN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női labdarúgás; pénzügyi és sportszakmai eredményesség; Anglia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Célkitűzés: A sportszakmai és pénzügyi eredményesség kapcsolatát vizsgáltuk a női labdarúgás példáján keresztül. Témaválasztásomat egyrészről motiválta a korábban megszerzett közgazdaságtani ismereteim, valamint a női labdarúgás szeretete. Célunk volt, hogy gazdasági mutatók segítségével határozzuk meg a pénzügyi eredményesség és a sportszakmai sikerek kapcsolatát azonos bajnoki évre, illetve a megelőző évi pénzügyi és adott évi sportszakmai mutatók esetén is.</w:t>
      </w:r>
      <w:r>
        <w:rPr>
          <w:color w:val="000000"/>
          <w:sz w:val="24"/>
          <w:szCs w:val="24"/>
        </w:rPr>
        <w:br/>
        <w:t xml:space="preserve">Adatok és módszerek: A kutatás olyan angol női első osztályú labdarúgó-bajnokságban szereplő klubokra terjed ki, melyek a 2018/2019-2021/2022. bajnoki évig legalább két egymást követő szezonban is az első osztályban szerepeltek. A mintánk elemszáma n=13. A gazdasági adatokat és a sportszakmai eredményeket internetes oldalakról nyertük ki. Korrelációs vizsgálatot, Shapiro-Wilk tesztet, majd a megfelelő függő (bajnokságban megszerzett pontok száma) és magyarázó változók (likviditás II. fokozata, eladósodási arány, vevői futamidő, szállítói futamidő) kiválasztását követően lineáris regressziót alkalmaztunk. A statisztikai elemzéseket a JASP 0.18.3.0 szoftverrel végeztük.</w:t>
      </w:r>
      <w:r>
        <w:rPr>
          <w:color w:val="000000"/>
          <w:sz w:val="24"/>
          <w:szCs w:val="24"/>
        </w:rPr>
        <w:br/>
        <w:t xml:space="preserve">Eredmények: Szignifikáns eredményt a 2020/2021. bajnoki évi pénzügyi és a 2021/2022. bajnoki évi sportszakmai mutatók vizsgálata esetén kaptunk (p-érték: 0,01). Az eladósodási arány és a bajnokságban megszerzett pontok száma között két szezon esetén kaptunk szignifikáns összefüggést: 2020/2021-2021/2022 (p-érték: 0,004) és 2019/2020-2020/2021 között (p-érték: 0,05). Továbbá, a szállítói futamidő és a függő változó között a 2020/2021- 2021/2022. bajnoki évek esetén kaptunk szignifikáns eredményt.</w:t>
      </w:r>
      <w:r>
        <w:rPr>
          <w:color w:val="000000"/>
          <w:sz w:val="24"/>
          <w:szCs w:val="24"/>
        </w:rPr>
        <w:br/>
        <w:t xml:space="preserve">Következtetések: A kapott eredmények nem mutatnak egyértelmű kapcsolatot a pénzügyi és sportszakmai mutatók között, míg hasonló nemzetközi kutatások során szignifikáns összefüggés látható. Ezért a kutatást érdemes lenne kiterjeszteni több bajnokságra és bajnoki évre, hogy átfogó képet kapjunk az európai női labdarúgás gazdasági és sportszakmai helyzetéről egyaránt.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0728857">
    <w:multiLevelType w:val="hybridMultilevel"/>
    <w:lvl w:ilvl="0" w:tplc="8622393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0728857">
    <w:abstractNumId w:val="4072885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0251132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