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REVICZKI PETRA</w:t>
            </w:r>
          </w:p>
          <w:p w:rsidR="00C275A3" w:rsidRDefault="00CA6B74" w:rsidP="00C275A3">
            <w:pPr>
              <w:pStyle w:val="Hallgatokepzes"/>
            </w:pPr>
            <w:r w:rsidRPr="001067CD">
              <w:rPr>
                <w:i/>
              </w:rPr>
              <w:t>reviczki.petra19@gmail.com</w:t>
            </w:r>
            <w:r w:rsidRPr="001067CD">
              <w:rPr>
                <w:i/>
              </w:rPr>
              <w:br/>
            </w:r>
            <w:r w:rsidR="00A96AEC">
              <w:t>Angol nyelv és kultúra, német nyelv és kultúra tanára</w:t>
            </w:r>
            <w:r w:rsidR="00A96AEC">
              <w:br/>
            </w:r>
            <w:r w:rsidR="00E77B23">
              <w:t>Osztatlan, 12.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Pintye-Lukács Erzsébet</w:t>
            </w:r>
          </w:p>
          <w:p w:rsidR="00DB4822" w:rsidRDefault="00DB4822" w:rsidP="00BA6BAF">
            <w:pPr>
              <w:pStyle w:val="Konzulensektitulus"/>
            </w:pPr>
            <w:r w:rsidRPr="00DB4822">
              <w:t>egyetemi tanársegéd,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Motiváció a német mint idegennyelv-oktatásban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motiváció; német nyelv; didaktika; nyelvfejlesztés; tankönyvelemzés</w:t>
      </w:r>
      <w:r>
        <w:t xml:space="preserve"/>
      </w:r>
    </w:p>
    <w:p>
      <w:pPr>
        <w:widowControl w:val="on"/>
        <w:pBdr/>
        <w:spacing w:before="240" w:after="240" w:line="240" w:lineRule="auto"/>
        <w:ind w:left="0" w:right="0"/>
        <w:jc w:val="left"/>
      </w:pPr>
      <w:r>
        <w:rPr>
          <w:color w:val="000000"/>
          <w:sz w:val="24"/>
          <w:szCs w:val="24"/>
        </w:rPr>
        <w:t xml:space="preserve"> Der Statistiken den KSH-Daten zufolge (KSH 2023) sinkt allählich die Zahl der Deutschlernenden. Dies wirft sich die folgende Frage auf, inwiefern die Schüler  mit den heutigen modern pedagigischen Mitteln  zum Deutschlernen motiviert werden können. In meiner Arbeit fokussiere ich mich auf die Motivation der  Deutschlernende, die die deutsche Sprache als zweite Fremdsprache lernen.</w:t>
      </w:r>
    </w:p>
    <w:p>
      <w:pPr>
        <w:widowControl w:val="on"/>
        <w:pBdr/>
        <w:spacing w:before="240" w:after="240" w:line="240" w:lineRule="auto"/>
        <w:ind w:left="0" w:right="0"/>
        <w:jc w:val="left"/>
      </w:pPr>
      <w:r>
        <w:rPr>
          <w:color w:val="000000"/>
          <w:sz w:val="24"/>
          <w:szCs w:val="24"/>
        </w:rPr>
        <w:t xml:space="preserve">Zentrale Fragen der Forschung:</w:t>
      </w:r>
    </w:p>
    <w:p>
      <w:pPr>
        <w:widowControl w:val="on"/>
        <w:pBdr/>
        <w:spacing w:before="240" w:after="240" w:line="240" w:lineRule="auto"/>
        <w:ind w:left="0" w:right="0"/>
        <w:jc w:val="left"/>
      </w:pPr>
      <w:r>
        <w:rPr>
          <w:color w:val="000000"/>
          <w:sz w:val="24"/>
          <w:szCs w:val="24"/>
        </w:rPr>
        <w:t xml:space="preserve">-die Motivation und die Einstellung der Schüler zur deutschen Sprache</w:t>
      </w:r>
      <w:r>
        <w:rPr>
          <w:color w:val="000000"/>
          <w:sz w:val="24"/>
          <w:szCs w:val="24"/>
        </w:rPr>
        <w:br/>
        <w:t xml:space="preserve">-die Erregung und Aufrechterhaltung von Motivation</w:t>
      </w:r>
      <w:r>
        <w:rPr>
          <w:color w:val="000000"/>
          <w:sz w:val="24"/>
          <w:szCs w:val="24"/>
        </w:rPr>
        <w:br/>
        <w:t xml:space="preserve">-Methoden und Techniken, mit denen die Motivation erschaffen werden kann</w:t>
      </w:r>
      <w:r>
        <w:rPr>
          <w:color w:val="000000"/>
          <w:sz w:val="24"/>
          <w:szCs w:val="24"/>
        </w:rPr>
        <w:br/>
        <w:t xml:space="preserve">-die Rolle der Lehrwerke bei der Motivation im Deutschunterricht</w:t>
      </w:r>
    </w:p>
    <w:p>
      <w:pPr>
        <w:widowControl w:val="on"/>
        <w:pBdr/>
        <w:spacing w:before="240" w:after="240" w:line="240" w:lineRule="auto"/>
        <w:ind w:left="0" w:right="0"/>
        <w:jc w:val="left"/>
      </w:pPr>
      <w:r>
        <w:rPr>
          <w:color w:val="000000"/>
          <w:sz w:val="24"/>
          <w:szCs w:val="24"/>
        </w:rPr>
        <w:t xml:space="preserve">In meiner Arbeit hervorgehoben, wie die Motivation geschaffen und aufrechterhalten werden kann, beziehungsweise mit welchen Methoden und Techniken die Schüler zum Deutschlernen angespornt werden können.</w:t>
      </w:r>
      <w:r>
        <w:rPr>
          <w:color w:val="000000"/>
          <w:sz w:val="24"/>
          <w:szCs w:val="24"/>
        </w:rPr>
        <w:br/>
        <w:t xml:space="preserve">Nach dem Überblick über die wichtigsten theoretischen Hintergrundinformationen, werde ich drei ausgewählte Lehrwerke genauer analysieren. Ich habe eine ausführliche Lehrwerkanalyse mithilfe von  drei bekannten Lehrbüchern durchgeführt (Direkt, KON-TAKT, Welttour), die regelmäßig in der Sekundarstufe verwendet werden. In der Lehrwerkanalyse habe untersucht, inwiefern die motivierenden Übungen in den Büchern zu finden sind. Es lässt sich festtellen, dass die drei Lehrbücher unterschiedliche Motivationsfaktoren  verstärken. </w:t>
      </w:r>
      <w:r>
        <w:rPr>
          <w:color w:val="000000"/>
          <w:sz w:val="24"/>
          <w:szCs w:val="24"/>
        </w:rPr>
        <w:br/>
        <w:t xml:space="preserve">In dem nächsten Teil habe ich eine empirische Forschung sowohl mit 100 Schülern  als auch mit  50 Lehrpersonen duchgeführt. Dabei ging es von der Hypothese aus, dass die Motivation zum Deutschlernen  ein  komplexer Prozess ist, und sie aus verschiedenen Komponenten besteht. Das Ergebnis untermauert, dass landeskundliche und spielerische Aufgaben im Vordergrund stehen.  Daraus folgt, dass die Lehrkraft eine wichtige Rolle bei dem Kreieren der motivierenden Bedingungen hat.  </w:t>
      </w:r>
    </w:p>
    <w:p>
      <w:pPr>
        <w:widowControl w:val="on"/>
        <w:pBdr/>
        <w:spacing w:before="240" w:after="240" w:line="240" w:lineRule="auto"/>
        <w:ind w:left="0" w:right="0"/>
        <w:jc w:val="left"/>
      </w:pPr>
      <w:r>
        <w:rPr>
          <w:color w:val="000000"/>
          <w:sz w:val="24"/>
          <w:szCs w:val="24"/>
        </w:rPr>
        <w:t xml:space="preserve">Im letzten Teil präsentiere ich eine ganze Übungsreihe, in der sowohl die produktiven als auch die rezeptiven Fertigkeiten auf motivierende Weise gefördert werden können. </w:t>
      </w:r>
    </w:p>
    <w:p>
      <w:pPr>
        <w:widowControl w:val="on"/>
        <w:pBdr/>
        <w:spacing w:before="240" w:after="240" w:line="240" w:lineRule="auto"/>
        <w:ind w:left="0" w:right="0"/>
        <w:jc w:val="left"/>
      </w:pPr>
      <w:r>
        <w:rPr>
          <w:color w:val="000000"/>
          <w:sz w:val="24"/>
          <w:szCs w:val="24"/>
        </w:rPr>
        <w:t xml:space="preserve">In dieser Arbeit wurde nachgewiesen, dass  Motivation ein langwieriger Prozess ist und es ausschlaggebend ist, viele Inputs und Sinnesorgane zu involvieren. Die dargestellten Ergebnisse rechtfertigen die Aussage, dass mit verschiedenen Methoden und Techniken die Motivation erhöht werden könnte. In der Forschung wird hervorgehoben, dass die Lehrpersonen eine unverzichtbare Rolle bei der Schaffung der motivierenden Bedingungen  haben.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80280">
    <w:multiLevelType w:val="hybridMultilevel"/>
    <w:lvl w:ilvl="0" w:tplc="922021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80280">
    <w:abstractNumId w:val="495802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60222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