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TARI KITTI</w:t>
            </w:r>
          </w:p>
          <w:p w:rsidR="00C275A3" w:rsidRDefault="00CA6B74" w:rsidP="00C275A3">
            <w:pPr>
              <w:pStyle w:val="Hallgatokepzes"/>
            </w:pPr>
            <w:r w:rsidRPr="001067CD">
              <w:rPr>
                <w:i/>
              </w:rPr>
              <w:t>kittitari2000@gmail.com</w:t>
            </w:r>
            <w:r w:rsidRPr="001067CD">
              <w:rPr>
                <w:i/>
              </w:rPr>
              <w:br/>
            </w:r>
            <w:r w:rsidR="00A96AEC">
              <w:t>Biológus</w:t>
            </w:r>
            <w:r w:rsidR="00A96AEC">
              <w:br/>
            </w:r>
            <w:r w:rsidR="00E77B23">
              <w:t>MSc, 2.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Mónika</w:t>
            </w:r>
          </w:p>
          <w:p w:rsidR="00DB4822" w:rsidRDefault="00DB4822" w:rsidP="00BA6BAF">
            <w:pPr>
              <w:pStyle w:val="Konzulensektitulus"/>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Pseudomonas izolátumok metabolomikai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Pseudomonas, metabolomika, antagonista</w:t>
      </w:r>
      <w:r>
        <w:t xml:space="preserve"/>
      </w:r>
    </w:p>
    <w:p>
      <w:pPr>
        <w:widowControl w:val="on"/>
        <w:pBdr/>
        <w:spacing w:before="240" w:after="240" w:line="240" w:lineRule="auto"/>
        <w:ind w:left="0" w:right="0"/>
        <w:jc w:val="left"/>
      </w:pPr>
      <w:r>
        <w:rPr>
          <w:color w:val="000000"/>
          <w:sz w:val="24"/>
          <w:szCs w:val="24"/>
        </w:rPr>
        <w:t xml:space="preserve">A fitopatogén gombák szántóföldi kártétele jelentős termésveszteséget eredményezhet, valamint az általuk termelt másodlagos metabolitok révén egészségügyi kockázatot is jelenthetnek a mezőgazdasági termékekben. A védekezésben a vetésforgó, a rezisztens növényfajták nemesítése és a szintetikus vegyszerek mellett biokontroll mikroorganizmusokat, például Bacillus, Streptomyces és Pseudomonas törzseket is alkalmazhatnak, de változékony hatékonyságuk, alacsony piaci jelenlétük és a termelők bizalmatlansága miatt használatuk egyelőre korlátozott.</w:t>
      </w:r>
      <w:r>
        <w:rPr>
          <w:color w:val="000000"/>
          <w:sz w:val="24"/>
          <w:szCs w:val="24"/>
        </w:rPr>
        <w:br/>
        <w:t xml:space="preserve">Vizsgálataink során célunk az volt, hogy a korábbi kísérleteinkben egy kiválasztott Aspergillus flavus gombával szemben antagonista hatást mutató Pseudomonas izolátumokban azonosítsuk a tapasztalt biokontroll hatásáért felelős metabolitokat. Ennek érdekében létrehoztunk egy tömegspektrometriás adatbázist az irodalomban eddig leírt, Pseudomonas fajok által termelt bioaktív vegyületek alapján, majd HPLC-ESI-HRMS módszerrel feltérképeztük 50 izolátum metabolitprofilját, melyek közül a korábbi kísérletekben 6 törzs mutatott antagonista hatást.</w:t>
      </w:r>
      <w:r>
        <w:rPr>
          <w:color w:val="000000"/>
          <w:sz w:val="24"/>
          <w:szCs w:val="24"/>
        </w:rPr>
        <w:br/>
        <w:t xml:space="preserve">Az adatbázisok és a metabolitprofil elemzésével azonosítottuk az izolátumok által termelt, már ismert bioaktív hatású vegyületeket: különböző biokontroll metabolitokat, sziderofórokat, ciklikus lipopeptideket, quorum sensing és azokkal rokon szerkezetű molekulákat. Az összehasonlító elemzéseink alapján ezek jelenléte nem lehetett felelős az antagonista hatás kialakulásáért. Találtunk azonban hét, az adatbázis alapján nem azonosítható komponenst, melyeket kizárólag az antagonista hatást mutató izolátumok termeltek. Ezen vegyületeket tömegspektrometriásan jellemeztük és az egyik metabolit szerkezetére a meglévő kísérleti adatok alapján javaslatot tettünk.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67716">
    <w:multiLevelType w:val="hybridMultilevel"/>
    <w:lvl w:ilvl="0" w:tplc="83023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67716">
    <w:abstractNumId w:val="584677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511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