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BOROSTA ROBERTA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roberta.borosta@gmail.com</w:t>
            </w:r>
            <w:r w:rsidRPr="001067CD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Bodai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Glioxaláz rendszer neurodegenerációra gyakorolt hatásának vizsgálata Huntington-kór és Alzheimer-kór modellekben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Huntington-kór; Alzheimer-kór; neurodegeneráció; Drosophila modell; Glyoxalase 1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középpontjában a Huntington-kór (HD), egy autoszómális domináns</w:t>
      </w:r>
      <w:r>
        <w:rPr>
          <w:color w:val="000000"/>
          <w:sz w:val="24"/>
          <w:szCs w:val="24"/>
        </w:rPr>
        <w:br/>
        <w:t xml:space="preserve">öröklődésű, neurodegeneratív megbetegedés, illetve a jellemzően sporadikus Alzheimer-kór</w:t>
      </w:r>
      <w:r>
        <w:rPr>
          <w:color w:val="000000"/>
          <w:sz w:val="24"/>
          <w:szCs w:val="24"/>
        </w:rPr>
        <w:br/>
        <w:t xml:space="preserve">molekuláris hátterének vizsgálat állt. Munkámat a betegségek transzgenikus Drosophila</w:t>
      </w:r>
      <w:r>
        <w:rPr>
          <w:color w:val="000000"/>
          <w:sz w:val="24"/>
          <w:szCs w:val="24"/>
        </w:rPr>
        <w:br/>
        <w:t xml:space="preserve">melanogaster modelljeiben végeztem.</w:t>
      </w:r>
      <w:r>
        <w:rPr>
          <w:color w:val="000000"/>
          <w:sz w:val="24"/>
          <w:szCs w:val="24"/>
        </w:rPr>
        <w:br/>
        <w:t xml:space="preserve">A csoportunk által korábban HD és Alzheimer-kór modell rendszereken végzett mikroRNS</w:t>
      </w:r>
      <w:r>
        <w:rPr>
          <w:color w:val="000000"/>
          <w:sz w:val="24"/>
          <w:szCs w:val="24"/>
        </w:rPr>
        <w:br/>
        <w:t xml:space="preserve">transzkriptomikai vizsgálatok eredményei arra utaltak, hogy a két betegségmodellben</w:t>
      </w:r>
      <w:r>
        <w:rPr>
          <w:color w:val="000000"/>
          <w:sz w:val="24"/>
          <w:szCs w:val="24"/>
        </w:rPr>
        <w:br/>
        <w:t xml:space="preserve">változást mutató miRNS-ek targetjei között feldúsulnak az AGE-RAGE jelátviteli útvonalhoz</w:t>
      </w:r>
      <w:r>
        <w:rPr>
          <w:color w:val="000000"/>
          <w:sz w:val="24"/>
          <w:szCs w:val="24"/>
        </w:rPr>
        <w:br/>
        <w:t xml:space="preserve">köthető gének mRNS-ei. TDK dolgozatomban ezért célul tűztem ki az útvonalhoz köthető</w:t>
      </w:r>
      <w:r>
        <w:rPr>
          <w:color w:val="000000"/>
          <w:sz w:val="24"/>
          <w:szCs w:val="24"/>
        </w:rPr>
        <w:br/>
        <w:t xml:space="preserve">egyik fő detoxifikáló fehérjét, a glioxalázt kódoló Glyoxalase 1 (Glo1) gén klónozását, és</w:t>
      </w:r>
      <w:r>
        <w:rPr>
          <w:color w:val="000000"/>
          <w:sz w:val="24"/>
          <w:szCs w:val="24"/>
        </w:rPr>
        <w:br/>
        <w:t xml:space="preserve">transzgenikus, Glo1 túltermelő Drosophila törzsek létrehozását. Az előállított UAS-Glo1.flag</w:t>
      </w:r>
      <w:r>
        <w:rPr>
          <w:color w:val="000000"/>
          <w:sz w:val="24"/>
          <w:szCs w:val="24"/>
        </w:rPr>
        <w:br/>
        <w:t xml:space="preserve">transzgénről történő expressziót western blot analízissel is ellenőriztük. Ezt követően HD és</w:t>
      </w:r>
      <w:r>
        <w:rPr>
          <w:color w:val="000000"/>
          <w:sz w:val="24"/>
          <w:szCs w:val="24"/>
        </w:rPr>
        <w:br/>
        <w:t xml:space="preserve">Alzheimer modellben is vizsgáltuk a Glo1 túltermelésének hatását az állatok életképességére,</w:t>
      </w:r>
      <w:r>
        <w:rPr>
          <w:color w:val="000000"/>
          <w:sz w:val="24"/>
          <w:szCs w:val="24"/>
        </w:rPr>
        <w:br/>
        <w:t xml:space="preserve">élettartamára, idegsejt degenerációjára és mozgására vonatkozóan. Eredményeink azt</w:t>
      </w:r>
      <w:r>
        <w:rPr>
          <w:color w:val="000000"/>
          <w:sz w:val="24"/>
          <w:szCs w:val="24"/>
        </w:rPr>
        <w:br/>
        <w:t xml:space="preserve">mutatják, hogy a túltermelés a HD modellben az összes vizsgált tesztben javította a betegség</w:t>
      </w:r>
      <w:r>
        <w:rPr>
          <w:color w:val="000000"/>
          <w:sz w:val="24"/>
          <w:szCs w:val="24"/>
        </w:rPr>
        <w:br/>
        <w:t xml:space="preserve">fenotípusát, míg az AD modellben az életképességre nem volt hatással, de a további tesztek</w:t>
      </w:r>
      <w:r>
        <w:rPr>
          <w:color w:val="000000"/>
          <w:sz w:val="24"/>
          <w:szCs w:val="24"/>
        </w:rPr>
        <w:br/>
        <w:t xml:space="preserve">esetében menekítő hatást tapasztaltunk. Továbbá fenotípusos vizsgálatot végeztünk egy</w:t>
      </w:r>
      <w:r>
        <w:rPr>
          <w:color w:val="000000"/>
          <w:sz w:val="24"/>
          <w:szCs w:val="24"/>
        </w:rPr>
        <w:br/>
        <w:t xml:space="preserve">Cerulean fluoreszcens fehérjével kapcsolt mutáns huntingtint (Htt.Q96-Cerulean) expresszáló</w:t>
      </w:r>
      <w:r>
        <w:rPr>
          <w:color w:val="000000"/>
          <w:sz w:val="24"/>
          <w:szCs w:val="24"/>
        </w:rPr>
        <w:br/>
        <w:t xml:space="preserve">HD modellen is. Ebben az esetben az élettartamok között találtunk szignifikáns eltérést a</w:t>
      </w:r>
      <w:r>
        <w:rPr>
          <w:color w:val="000000"/>
          <w:sz w:val="24"/>
          <w:szCs w:val="24"/>
        </w:rPr>
        <w:br/>
        <w:t xml:space="preserve">Glo1 overexpresszió hatására. Ezt a törzset használtuk arra is, hogy megfigyeljük, a Glo1</w:t>
      </w:r>
      <w:r>
        <w:rPr>
          <w:color w:val="000000"/>
          <w:sz w:val="24"/>
          <w:szCs w:val="24"/>
        </w:rPr>
        <w:br/>
        <w:t xml:space="preserve">túltermelése hatására megváltozik-e a mutáns huntingtin fehérje western blottal kimutatható</w:t>
      </w:r>
      <w:r>
        <w:rPr>
          <w:color w:val="000000"/>
          <w:sz w:val="24"/>
          <w:szCs w:val="24"/>
        </w:rPr>
        <w:br/>
        <w:t xml:space="preserve">szolubilis formájának; illetve a stacking gélben lévő aggregált formáknak a mennyisége. A</w:t>
      </w:r>
      <w:r>
        <w:rPr>
          <w:color w:val="000000"/>
          <w:sz w:val="24"/>
          <w:szCs w:val="24"/>
        </w:rPr>
        <w:br/>
        <w:t xml:space="preserve">Glo1 mRNS szintjének növekedését a kísérleti csoportokban kvantitatív RT-PCR</w:t>
      </w:r>
      <w:r>
        <w:rPr>
          <w:color w:val="000000"/>
          <w:sz w:val="24"/>
          <w:szCs w:val="24"/>
        </w:rPr>
        <w:br/>
        <w:t xml:space="preserve">alkalmazásával igazoltuk.</w:t>
      </w:r>
      <w:r>
        <w:rPr>
          <w:color w:val="000000"/>
          <w:sz w:val="24"/>
          <w:szCs w:val="24"/>
        </w:rPr>
        <w:br/>
        <w:t xml:space="preserve">A Glo1 túltermelés hatásának jellemzése mellett Glo1 funkcióvesztéses mutáns alléljének</w:t>
      </w:r>
      <w:r>
        <w:rPr>
          <w:color w:val="000000"/>
          <w:sz w:val="24"/>
          <w:szCs w:val="24"/>
        </w:rPr>
        <w:br/>
        <w:t xml:space="preserve">felhasználásával vizsgáltuk a csökkent Glo1 szint hatását a Drosophila HD és AD</w:t>
      </w:r>
      <w:r>
        <w:rPr>
          <w:color w:val="000000"/>
          <w:sz w:val="24"/>
          <w:szCs w:val="24"/>
        </w:rPr>
        <w:br/>
        <w:t xml:space="preserve">modellekben.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65469">
    <w:multiLevelType w:val="hybridMultilevel"/>
    <w:lvl w:ilvl="0" w:tplc="92579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65469">
    <w:abstractNumId w:val="907654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9316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