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torok.gergo.02@gmail.com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Exobolygók automatizált detektálása gépi tanulási módszerekkel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exobolygó; tranzit; fénygörbe; osztályozók; mélytanulás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felében ismertettem a problémát, majd a Kepler űrtávcső adatain gépi tanulási módszerekkel osztályoztam. Összevetettem az egyes modellek eredményeit, majd röviden kifejtettem a Kepler, és a dolgozat második felében előkerülő TESS adathalmazon történő osztályozások nehézségei közötti különbséget.</w:t>
      </w:r>
      <w:r>
        <w:rPr>
          <w:color w:val="000000"/>
          <w:sz w:val="24"/>
          <w:szCs w:val="24"/>
        </w:rPr>
        <w:br/>
        <w:t xml:space="preserve">A dolgozat második felében olyan technikákat mutattam be, amelyekkel növelhető az exobolygó detektáló modellek teljesítménye a TESS adathalmazon. Ezen felül megmutattam, hogy kevesebb neuronszámú, sekélyebb hálóval is elérhető a Yu, L. et al. (2019) által bemutatott teljesítmény, sőt a kritikusnak tekintett magas recall értékek esetében túlnyomó részben kiemelkedőbb precision értékek elérése is.</w:t>
      </w:r>
      <w:r>
        <w:rPr>
          <w:color w:val="000000"/>
          <w:sz w:val="24"/>
          <w:szCs w:val="24"/>
        </w:rPr>
        <w:br/>
        <w:t xml:space="preserve">A kiegyensúlyozott batch normalizálás és az adataugmentációk segítették a tanítást, mérsékelték az erős kiegyensúlyozatlanság miatt fellépő problémákat. Az általam bemutatott adataugmentáció széles körben alkalmazható egyéb idősori adatok osztályozásánál is számos területen.</w:t>
      </w:r>
      <w:r>
        <w:rPr>
          <w:color w:val="000000"/>
          <w:sz w:val="24"/>
          <w:szCs w:val="24"/>
        </w:rPr>
        <w:br/>
        <w:t xml:space="preserve">A mélytanulás egyik hátránya, hogy a paraméterek, metaparaméterek finomhangolása rengeteg időt vehet igénybe. Erre bemutattam egy szűrőalgoritmust, amelynek segítségével az adathalmaz mérete csökkenthető. A csökkentett adathalmaz megőrzi a nehezen osztályozható példák túlnyomó többségét, és ezáltal a háló gyorsabban optimalizálható.</w:t>
      </w:r>
      <w:r>
        <w:rPr>
          <w:color w:val="000000"/>
          <w:sz w:val="24"/>
          <w:szCs w:val="24"/>
        </w:rPr>
        <w:br/>
        <w:t xml:space="preserve">Végül felvetettem két problémát Yu, L. et al. (2019) módszereivel és a modellük robosztusságával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794602">
    <w:multiLevelType w:val="hybridMultilevel"/>
    <w:lvl w:ilvl="0" w:tplc="78735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794602">
    <w:abstractNumId w:val="377946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60094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