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GÁRDI BÁLINT</w:t>
            </w:r>
          </w:p>
          <w:p w:rsidR="00C275A3" w:rsidRDefault="00CA6B74" w:rsidP="00C275A3">
            <w:pPr>
              <w:pStyle w:val="Hallgatokepzes"/>
            </w:pPr>
            <w:r w:rsidRPr="001067CD">
              <w:rPr>
                <w:i/>
              </w:rPr>
              <w:t>gardesz101@gmail.com</w:t>
            </w:r>
            <w:r w:rsidRPr="001067CD">
              <w:rPr>
                <w:i/>
              </w:rPr>
              <w:br/>
            </w:r>
            <w:r w:rsidR="00A96AEC">
              <w:t>kémia</w:t>
            </w:r>
            <w:r w:rsidR="00A96AEC">
              <w:br/>
            </w:r>
            <w:r w:rsidR="00E77B23">
              <w:t>BSc, 6.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Ágota</w:t>
            </w:r>
          </w:p>
          <w:p w:rsidR="00DB4822" w:rsidRDefault="00DB4822" w:rsidP="00BA6BAF">
            <w:pPr>
              <w:pStyle w:val="Konzulensektitulus"/>
            </w:pPr>
            <w:r w:rsidRPr="00DB4822">
              <w:t>egyetemi tanár, SZTE TTIK</w:t>
            </w:r>
          </w:p>
        </w:tc>
      </w:tr>
      <w:tr w:rsidR="00DB4822" w:rsidTr="00DB4822">
        <w:tc>
          <w:tcPr>
            <w:tcW w:w="9854" w:type="dxa"/>
          </w:tcPr>
          <w:p w:rsidR="00DB4822" w:rsidRPr="00DB4822" w:rsidRDefault="00DB4822" w:rsidP="00BA6BAF">
            <w:pPr>
              <w:pStyle w:val="Konzulenseknev"/>
            </w:pPr>
            <w:r w:rsidRPr="00DB4822">
              <w:t>Dr. Horváth Dezső</w:t>
            </w:r>
          </w:p>
          <w:p w:rsidR="00DB4822" w:rsidRDefault="00DB4822" w:rsidP="00BA6BAF">
            <w:pPr>
              <w:pStyle w:val="Konzulensektitulus"/>
            </w:pPr>
            <w:r w:rsidRPr="00DB4822">
              <w:t>egyetemi tanár,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Kitozángyöngyök méretfüggő kollektív viselkedése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Kitozán polimergyöngyök, oszcilláció, szinkronizáció, Marangoni-hatás, kapillárishatás</w:t>
      </w:r>
      <w:r>
        <w:t xml:space="preserve"/>
      </w:r>
    </w:p>
    <w:p>
      <w:pPr>
        <w:widowControl w:val="on"/>
        <w:pBdr/>
        <w:spacing w:before="240" w:after="240" w:line="240" w:lineRule="auto"/>
        <w:ind w:left="0" w:right="0"/>
        <w:jc w:val="left"/>
      </w:pPr>
      <w:r>
        <w:rPr>
          <w:color w:val="000000"/>
          <w:sz w:val="24"/>
          <w:szCs w:val="24"/>
        </w:rPr>
        <w:t xml:space="preserve">Kollektív viselkedéssel környezetünkben gyakran találkozhatunk: a szentjánosbogarak összehangolt villogásától, a sejtek ön- és létfenntartását biztosító mozgási mechanizmusokon keresztül a társadalmi önszerveződésre példát jelentő vastapson át. Ezen összehangolt, szinkronizált oszcillációk létfontosságú szerepet töltenek be mindennapi életünkben. Kémiai rendszerekben történő szisztematikus kimutatása és szabályozása az évezredben kezdődött. Munkám célja ezen jelenségek laboratóriumbeli modellezése volt olyan mesterséges, aktív anyagi rendszerekben, melyek közti fizikai kölcsönhatás kémiai reakcióban történő változás által jön létre.</w:t>
      </w:r>
      <w:r>
        <w:rPr>
          <w:color w:val="000000"/>
          <w:sz w:val="24"/>
          <w:szCs w:val="24"/>
        </w:rPr>
        <w:br/>
        <w:t xml:space="preserve">A kísérletekhez gadolínium(III)-kloridot és etanolt is tartalmazó ecetsavas kitozánszolt állítottam elő, melyet perisztaltikus pumpa segítségével cseppenként adagoltam meghatározott töménységű lúgoldatba. A kísérletekről gyorskamerával felvételeket készítettem, melyekből kinyert adatok kiértékelésével a polimergyöngyök egymással való kölcsönhatását és mozgásuk dinamikáját jellemeztem.</w:t>
      </w:r>
      <w:r>
        <w:rPr>
          <w:color w:val="000000"/>
          <w:sz w:val="24"/>
          <w:szCs w:val="24"/>
        </w:rPr>
        <w:br/>
        <w:t xml:space="preserve">A savas szol lúgoldatba cseppenésekor a kitozán térszerkezetének megváltozásával gél állapotú úszó gyönggyé alakul. [1] Az etanol lúgoldatbeli diffundálása a felületi feszültség csökkenését okozza, mely a gyöngyök felszíni mozgását és így önmeghajtó motorokká alakulását eredményezi. Két önjáró kitozángyöngy egymás közelébe kerülésekor két hatás határozza meg a további mozgásukat: a kapilláris vonzás miatt a részecskék között vonzó kölcsönhatás lép fel, míg a Marangoni hatás miatt a részecskék egymást taszítják. [2] Amennyiben a vonzó és a taszító kölcsönhatás hasonló nagyságrendű, oszcilláció léphet fel közöttük. A létrehozott halmazokban az egyes egyedek egymásra gyakorolt hatásainak köszönhetően sajátos dinamikus mozgást eredményező szinkronizáció léphet fel.</w:t>
      </w:r>
      <w:r>
        <w:rPr>
          <w:color w:val="000000"/>
          <w:sz w:val="24"/>
          <w:szCs w:val="24"/>
        </w:rPr>
        <w:br/>
        <w:t xml:space="preserve">Munkám során különböző méretű és számú kitozángyöngy viselkedését tanulmányoztam, tér- és időbeli szinkronizációjukat mennyiségileg jellemeztem. A gyöngyök méretének és számának módosításával eltérő, jól reprodukálható mozgásformákat figyeltem meg.</w:t>
      </w:r>
      <w:r>
        <w:rPr>
          <w:color w:val="000000"/>
          <w:sz w:val="24"/>
          <w:szCs w:val="24"/>
        </w:rPr>
        <w:br/>
        <w:t xml:space="preserve">[1] Kumar, P., Horváth, D., Tóth, Á.: Chaos, 2022 (6) 063120.</w:t>
      </w:r>
      <w:r>
        <w:rPr>
          <w:color w:val="000000"/>
          <w:sz w:val="24"/>
          <w:szCs w:val="24"/>
        </w:rPr>
        <w:br/>
        <w:t xml:space="preserve">[2] Kumar, P., Horváth, D., Tóth, Á.: Soft Matter, 2023 (22) 4137-4143.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78951">
    <w:multiLevelType w:val="hybridMultilevel"/>
    <w:lvl w:ilvl="0" w:tplc="763784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78951">
    <w:abstractNumId w:val="723789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23219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