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ERDEI LAURA CSENGE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erdeilaura21@gmail.com</w:t>
            </w:r>
            <w:r w:rsidRPr="001067CD">
              <w:rPr>
                <w:i/>
              </w:rPr>
              <w:br/>
            </w:r>
            <w:r w:rsidR="00A96AEC">
              <w:t>Kémia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Czakó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Papp Dóra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F− + PH2I reakció dinamikájának modellezése saját fejlesztésű ab initio potenciálisenergia-felületen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SN2; proton absztrakció; központi atom; inverzió; kvázi-klasszikus trajektória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számítógépek megjelenésével lehetőség nyílt szoftvereket is bevonni a tudományos kutatásokba. Ezek előnyeit használja ki az elméleti kémia is, ami különféle kémiai rendszerek és reakciók modellezésével foglalkozik. Számítógépes módszereket az egyik legfontosabb szerves reakciótípus, a bimolekulás nukleofil szubsztitúció (S</w:t>
      </w:r>
      <w:r>
        <w:rPr>
          <w:color w:val="000000"/>
          <w:position w:val="-4"/>
          <w:sz w:val="21"/>
          <w:szCs w:val="21"/>
          <w:vertAlign w:val="subscript"/>
        </w:rPr>
        <w:t xml:space="preserve">N</w:t>
      </w:r>
      <w:r>
        <w:rPr>
          <w:color w:val="000000"/>
          <w:sz w:val="24"/>
          <w:szCs w:val="24"/>
        </w:rPr>
        <w:t xml:space="preserve">2) vizsgálatára is előszeretettel alkalmaznak. A szén- és nitrogén centrumon lejátszódó S</w:t>
      </w:r>
      <w:r>
        <w:rPr>
          <w:color w:val="000000"/>
          <w:position w:val="-4"/>
          <w:sz w:val="21"/>
          <w:szCs w:val="21"/>
          <w:vertAlign w:val="subscript"/>
        </w:rPr>
        <w:t xml:space="preserve">N</w:t>
      </w:r>
      <w:r>
        <w:rPr>
          <w:color w:val="000000"/>
          <w:sz w:val="24"/>
          <w:szCs w:val="24"/>
        </w:rPr>
        <w:t xml:space="preserve">2 reakciókat már jóval régebben elkezdték felderíteni, míg a foszfor, mint központi atom szerepe még kevésbé tisztázott.</w:t>
      </w:r>
      <w:r>
        <w:rPr>
          <w:color w:val="000000"/>
          <w:sz w:val="24"/>
          <w:szCs w:val="24"/>
        </w:rPr>
        <w:br/>
        <w:t xml:space="preserve">Dolgozatom témája a F</w:t>
      </w:r>
      <w:r>
        <w:rPr>
          <w:color w:val="000000"/>
          <w:position w:val="4"/>
          <w:sz w:val="21"/>
          <w:szCs w:val="21"/>
          <w:vertAlign w:val="superscript"/>
        </w:rPr>
        <w:t xml:space="preserve">−</w:t>
      </w:r>
      <w:r>
        <w:rPr>
          <w:color w:val="000000"/>
          <w:sz w:val="24"/>
          <w:szCs w:val="24"/>
        </w:rPr>
        <w:t xml:space="preserve"> + PH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I reakció dinamikájának modellezése. Először a már rendelkezésre álló stacionárius pontokból kiindulva random kitérítéseket végeztünk, hogy előállítsuk a kezdeti illesztési készletet egy potenciálisenergia-felület (PES) fejlesztéséhez. Az így kapott pontokra single point energiaszámításokat végeztünk ManyHF-BCCD(T)-alapú kompozit módszerrel a MOLPRO programcsomag alkalmazásával. Az analitikus PES fejlesztését a ROBOSURFER programcsomaggal végeztük 1-50 kcal/mol ütközési energia tartományban. Ezután kvázi-klasszikus trajektória szimulációkat futtattunk hét különböző ütközési energián. Az így kapott adatokat saját készítésű elemzőkóddal értékeltük ki.</w:t>
      </w:r>
      <w:r>
        <w:rPr>
          <w:color w:val="000000"/>
          <w:sz w:val="24"/>
          <w:szCs w:val="24"/>
        </w:rPr>
        <w:br/>
        <w:t xml:space="preserve">A benchmark és a PES-en kapott energiák jó egyezést mutatnak. A két fő termékcsatorna közül alacsony ütközési energiákon a szubsztitúció reaktivitása nagyobb, magasabb energiákon pedig a proton absztrakció válik kisebb mértékben dominánssá. A szórási szög eloszlás mindkét csatorna esetén előre szóródási hajlamot mutat, ami a lehasításos mechanizmusra utal. Szubsztitúció esetén a támadási szögnél 90° a preferált, ami egybevág a stacionárius pontok szerkezetével. A relatív transzlációs energia eloszlásokból azt állapítottuk meg, hogy a szubsztitúció az egész ütközési energia intervallumon inkább indirekt reakció, míg a proton absztrakció nagyobb energiákon direktté válik. Sztereokémiai szempontból a szubsztitúciós termékek nagyobb része inverziós, de az ütközési energia növekedésével a retenció aránya nő. Eredményeink hozzájárulnak a központi atom és a távozó ion reakciódinamikára gyakorolt hatásának szélesebb körű megértéséhez.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796967">
    <w:multiLevelType w:val="hybridMultilevel"/>
    <w:lvl w:ilvl="0" w:tplc="722539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796967">
    <w:abstractNumId w:val="817969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55248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