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SZIRMAI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adri.szirmai@gmail.com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Endrődi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Kormányos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Nyers glicerin elektrokatalitikus oxidációja nemesfém és nem nemesfém katalizátorokon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elektrolízis; elektroszintézis; glicerin oxidáció; szén-dioxid megkötés és 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Az elmúlt évtizedben egyre nagyobb a kutatási érdeklődés a glicerin elektrokémiai úton</w:t>
      </w:r>
      <w:r>
        <w:rPr>
          <w:color w:val="000000"/>
          <w:sz w:val="24"/>
          <w:szCs w:val="24"/>
        </w:rPr>
        <w:br/>
        <w:t xml:space="preserve">történő átalakítására, mely elsősorban a növekvő biodízel termelésnek köszönhető, ahol nagy</w:t>
      </w:r>
      <w:r>
        <w:rPr>
          <w:color w:val="000000"/>
          <w:sz w:val="24"/>
          <w:szCs w:val="24"/>
        </w:rPr>
        <w:br/>
        <w:t xml:space="preserve">mennyiségben keletkezik viszonylag tiszta glicerin melléktermék (45-80%). A glicerin</w:t>
      </w:r>
      <w:r>
        <w:rPr>
          <w:color w:val="000000"/>
          <w:sz w:val="24"/>
          <w:szCs w:val="24"/>
        </w:rPr>
        <w:br/>
        <w:t xml:space="preserve">részleges oxidációjával számos ipari alapanyag nyerhető. Egy lehetséges átalakítási módszer az</w:t>
      </w:r>
      <w:r>
        <w:rPr>
          <w:color w:val="000000"/>
          <w:sz w:val="24"/>
          <w:szCs w:val="24"/>
        </w:rPr>
        <w:br/>
        <w:t xml:space="preserve">elektrokémiai oxidáció (GOR), amelynek elsődleges előnye, hogy enyhe körülmények között</w:t>
      </w:r>
      <w:r>
        <w:rPr>
          <w:color w:val="000000"/>
          <w:sz w:val="24"/>
          <w:szCs w:val="24"/>
        </w:rPr>
        <w:br/>
        <w:t xml:space="preserve">hajtható végre (szobahőmérsékleten, légköri nyomáson).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Munkánk során szén hordozón rögzített platina nanorészecskék (Pt/C) és különböző</w:t>
      </w:r>
      <w:r>
        <w:rPr>
          <w:color w:val="000000"/>
          <w:sz w:val="24"/>
          <w:szCs w:val="24"/>
        </w:rPr>
        <w:br/>
        <w:t xml:space="preserve">egyatomos katalizátorok (fém nélküli szén hordozó (NC), valamint ennek különböző fémekkel</w:t>
      </w:r>
      <w:r>
        <w:rPr>
          <w:color w:val="000000"/>
          <w:sz w:val="24"/>
          <w:szCs w:val="24"/>
        </w:rPr>
        <w:br/>
        <w:t xml:space="preserve">adalékolt változatai: FeNC, NiNC, FeNiNC) viselkedését vizsgáltuk GOR során. Méréseinket</w:t>
      </w:r>
      <w:r>
        <w:rPr>
          <w:color w:val="000000"/>
          <w:sz w:val="24"/>
          <w:szCs w:val="24"/>
        </w:rPr>
        <w:br/>
        <w:t xml:space="preserve">folyamatos áramlásos mikrofluidikai elektrolizáló cellában végeztük, hordozóként Freudenberg</w:t>
      </w:r>
      <w:r>
        <w:rPr>
          <w:color w:val="000000"/>
          <w:sz w:val="24"/>
          <w:szCs w:val="24"/>
        </w:rPr>
        <w:br/>
        <w:t xml:space="preserve">H23C6 típusú szénpapírt alkalmazva, amire a katalizátorréteget porlasztva fújásos technikával</w:t>
      </w:r>
      <w:r>
        <w:rPr>
          <w:color w:val="000000"/>
          <w:sz w:val="24"/>
          <w:szCs w:val="24"/>
        </w:rPr>
        <w:br/>
        <w:t xml:space="preserve">vittük fel. Glicerin oxidációs termékekként a folyadék fázisban NMR spektroszkópiával és</w:t>
      </w:r>
      <w:r>
        <w:rPr>
          <w:color w:val="000000"/>
          <w:sz w:val="24"/>
          <w:szCs w:val="24"/>
        </w:rPr>
        <w:br/>
        <w:t xml:space="preserve">nagyhatékonyságú ionkromatográfiával glicerátot, tartronátot, oxalátot, formiátot, laktátot és</w:t>
      </w:r>
      <w:r>
        <w:rPr>
          <w:color w:val="000000"/>
          <w:sz w:val="24"/>
          <w:szCs w:val="24"/>
        </w:rPr>
        <w:br/>
        <w:t xml:space="preserve">Pt/C esetén glikolátot is azonosítottunk. Megállapítottuk, hogy a nemesfém katalizátorokhoz</w:t>
      </w:r>
      <w:r>
        <w:rPr>
          <w:color w:val="000000"/>
          <w:sz w:val="24"/>
          <w:szCs w:val="24"/>
        </w:rPr>
        <w:br/>
        <w:t xml:space="preserve">képest az összes egyatomos katalizátor jelentősen szelektívebb volt; a töltés közel 90%-a</w:t>
      </w:r>
      <w:r>
        <w:rPr>
          <w:color w:val="000000"/>
          <w:sz w:val="24"/>
          <w:szCs w:val="24"/>
        </w:rPr>
        <w:br/>
        <w:t xml:space="preserve">formiát keletkezésére fordítódott.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Célunk volt továbbá a katódfolyamat (víz redukció) lecserélése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redukcióra</w:t>
      </w:r>
      <w:r>
        <w:rPr>
          <w:color w:val="000000"/>
          <w:sz w:val="24"/>
          <w:szCs w:val="24"/>
        </w:rPr>
        <w:br/>
        <w:t xml:space="preserve">(CO2RR), így a katódon és az anódon is hasznos termék keletkezik. Az így kialakított párosított</w:t>
      </w:r>
      <w:r>
        <w:rPr>
          <w:color w:val="000000"/>
          <w:sz w:val="24"/>
          <w:szCs w:val="24"/>
        </w:rPr>
        <w:br/>
        <w:t xml:space="preserve">CO2RR/GOR elektrolizáló cella nagy reakciósebességen több órán keresztül üzemeltethető</w:t>
      </w:r>
      <w:r>
        <w:rPr>
          <w:color w:val="000000"/>
          <w:sz w:val="24"/>
          <w:szCs w:val="24"/>
        </w:rPr>
        <w:br/>
        <w:t xml:space="preserve">volt, az áramsűrűség kismértékű csökkenése mellett. Az összegyűjtött tapasztalatokat</w:t>
      </w:r>
      <w:r>
        <w:rPr>
          <w:color w:val="000000"/>
          <w:sz w:val="24"/>
          <w:szCs w:val="24"/>
        </w:rPr>
        <w:br/>
        <w:t xml:space="preserve">felhasználva a méréseinket megismételtük egy magyarországi biodízel üzemből származó,</w:t>
      </w:r>
      <w:r>
        <w:rPr>
          <w:color w:val="000000"/>
          <w:sz w:val="24"/>
          <w:szCs w:val="24"/>
        </w:rPr>
        <w:br/>
        <w:t xml:space="preserve">80%-os tisztaságú nyers glicerinnel is. A Pt/C katalizátor aktivitása nagyon gyorsan lecsökkent,</w:t>
      </w:r>
      <w:r>
        <w:rPr>
          <w:color w:val="000000"/>
          <w:sz w:val="24"/>
          <w:szCs w:val="24"/>
        </w:rPr>
        <w:br/>
        <w:t xml:space="preserve">azonban az egyatomos NiNC és FeNiNC minták megőrizték mind az aktivitásukat, mind pedig</w:t>
      </w:r>
      <w:r>
        <w:rPr>
          <w:color w:val="000000"/>
          <w:sz w:val="24"/>
          <w:szCs w:val="24"/>
        </w:rPr>
        <w:br/>
        <w:t xml:space="preserve">a GOR szelektivitásukat. Munkánk során sikerült olyan körülményeket azonosítanunk, mellyel</w:t>
      </w:r>
      <w:r>
        <w:rPr>
          <w:color w:val="000000"/>
          <w:sz w:val="24"/>
          <w:szCs w:val="24"/>
        </w:rPr>
        <w:br/>
        <w:t xml:space="preserve">a CO2RR/GOR párosított elektrolizáló cella nagy áramsűrűségeken, időben változatlan</w:t>
      </w:r>
      <w:r>
        <w:rPr>
          <w:color w:val="000000"/>
          <w:sz w:val="24"/>
          <w:szCs w:val="24"/>
        </w:rPr>
        <w:br/>
        <w:t xml:space="preserve">szelektivitással (anód-, és katódfolyamat) üzemeltethető ipari glicerin forrással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21935">
    <w:multiLevelType w:val="hybridMultilevel"/>
    <w:lvl w:ilvl="0" w:tplc="94488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21935">
    <w:abstractNumId w:val="950219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186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