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GÁRGYÁN BARNABÁS</w:t>
            </w:r>
          </w:p>
          <w:p w:rsidR="00C275A3" w:rsidRDefault="00CA6B74" w:rsidP="00C275A3">
            <w:pPr>
              <w:pStyle w:val="Hallgatokepzes"/>
            </w:pPr>
            <w:r w:rsidRPr="001067CD">
              <w:rPr>
                <w:i/>
              </w:rPr>
              <w:t>gargyan.barnabas@gmail.com</w:t>
            </w:r>
            <w:r w:rsidRPr="001067CD">
              <w:rPr>
                <w:i/>
              </w:rPr>
              <w:br/>
            </w:r>
            <w:r w:rsidR="00A96AEC">
              <w:t>Matematikus</w:t>
            </w:r>
            <w:r w:rsidR="00A96AEC">
              <w:br/>
            </w:r>
            <w:r w:rsidR="00E77B23">
              <w:t>MSc, 10.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Ambrus Gergely</w:t>
            </w:r>
          </w:p>
          <w:p w:rsidR="00DB4822" w:rsidRDefault="00DB4822" w:rsidP="00BA6BAF">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Laplace-Pólya integrál kombinatorikai tulajdonságai és alkalmazásai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Sinc integrálok; Euler számok; kocka-hipersíkmetszetek</w:t>
      </w:r>
      <w:r>
        <w:t xml:space="preserve"/>
      </w:r>
    </w:p>
    <w:p>
      <w:pPr>
        <w:widowControl w:val="on"/>
        <w:pBdr/>
        <w:spacing w:before="240" w:after="240" w:line="240" w:lineRule="auto"/>
        <w:ind w:left="0" w:right="0"/>
        <w:jc w:val="left"/>
      </w:pPr>
      <w:r>
        <w:rPr>
          <w:color w:val="000000"/>
          <w:sz w:val="24"/>
          <w:szCs w:val="24"/>
        </w:rPr>
        <w:t xml:space="preserve">In this thesis, we investigate the Laplace-Pólya integral defined by </w:t>
      </w:r>
      <w:r>
        <w:rPr>
          <w:color w:val="000000"/>
          <w:sz w:val="24"/>
          <w:szCs w:val="24"/>
        </w:rPr>
        <w:drawing>
          <wp:inline distT="0" distB="0" distL="0" distR="0">
            <wp:extent cx="1922400" cy="194400"/>
            <wp:docPr id="35646113" name="name168278c9b853f7" descr="imgtmp_99906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1.png"/>
                    <pic:cNvPicPr/>
                  </pic:nvPicPr>
                  <pic:blipFill>
                    <a:blip r:embed="rId168278c9b853b8" cstate="print"/>
                    <a:stretch>
                      <a:fillRect/>
                    </a:stretch>
                  </pic:blipFill>
                  <pic:spPr>
                    <a:xfrm>
                      <a:off x="0" y="0"/>
                      <a:ext cx="1922400" cy="194400"/>
                    </a:xfrm>
                    <a:prstGeom prst="rect">
                      <a:avLst/>
                    </a:prstGeom>
                    <a:ln w="0">
                      <a:noFill/>
                    </a:ln>
                  </pic:spPr>
                </pic:pic>
              </a:graphicData>
            </a:graphic>
          </wp:inline>
        </w:drawing>
      </w:r>
      <w:r>
        <w:rPr>
          <w:color w:val="000000"/>
          <w:sz w:val="24"/>
          <w:szCs w:val="24"/>
        </w:rPr>
        <w:t xml:space="preserve">. Utilizing its combinatorial properties, we prove a lower bound for </w:t>
      </w:r>
      <w:r>
        <w:rPr>
          <w:color w:val="000000"/>
          <w:position w:val="-3"/>
          <w:sz w:val="24"/>
          <w:szCs w:val="24"/>
        </w:rPr>
        <w:drawing>
          <wp:inline distT="0" distB="0" distL="0" distR="0">
            <wp:extent cx="1094400" cy="165600"/>
            <wp:docPr id="89320823" name="name168278c9b85578" descr="imgtmp_99906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2.gif"/>
                    <pic:cNvPicPr/>
                  </pic:nvPicPr>
                  <pic:blipFill>
                    <a:blip r:embed="rId168278c9b8553c" cstate="print"/>
                    <a:stretch>
                      <a:fillRect/>
                    </a:stretch>
                  </pic:blipFill>
                  <pic:spPr>
                    <a:xfrm>
                      <a:off x="0" y="0"/>
                      <a:ext cx="1094400" cy="165600"/>
                    </a:xfrm>
                    <a:prstGeom prst="rect">
                      <a:avLst/>
                    </a:prstGeom>
                    <a:ln w="0">
                      <a:noFill/>
                    </a:ln>
                  </pic:spPr>
                </pic:pic>
              </a:graphicData>
            </a:graphic>
          </wp:inline>
        </w:drawing>
      </w:r>
      <w:r>
        <w:rPr>
          <w:color w:val="000000"/>
          <w:sz w:val="24"/>
          <w:szCs w:val="24"/>
        </w:rPr>
        <w:t xml:space="preserve">. This result provides a natural counterpart to the upper bound established in our previous work.</w:t>
      </w:r>
    </w:p>
    <w:p>
      <w:pPr>
        <w:widowControl w:val="on"/>
        <w:pBdr/>
        <w:spacing w:before="240" w:after="240" w:line="240" w:lineRule="auto"/>
        <w:ind w:left="0" w:right="0"/>
        <w:jc w:val="left"/>
      </w:pPr>
      <w:r>
        <w:rPr>
          <w:color w:val="000000"/>
          <w:sz w:val="24"/>
          <w:szCs w:val="24"/>
        </w:rPr>
        <w:t xml:space="preserve">Applications of the Laplace-Pólya integral in mathematics, physics, and engineering inspired researchers to determine it effectively for exact values of </w:t>
      </w:r>
      <w:r>
        <w:rPr>
          <w:color w:val="000000"/>
          <w:position w:val="-3"/>
          <w:sz w:val="24"/>
          <w:szCs w:val="24"/>
        </w:rPr>
        <w:drawing>
          <wp:inline distT="0" distB="0" distL="0" distR="0">
            <wp:extent cx="115200" cy="72000"/>
            <wp:docPr id="739801" name="name168278c9b85687" descr="imgtmp_99906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3.gif"/>
                    <pic:cNvPicPr/>
                  </pic:nvPicPr>
                  <pic:blipFill>
                    <a:blip r:embed="rId168278c9b8564f"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and </w:t>
      </w:r>
      <w:r>
        <w:rPr>
          <w:color w:val="000000"/>
          <w:position w:val="-3"/>
          <w:sz w:val="24"/>
          <w:szCs w:val="24"/>
        </w:rPr>
        <w:drawing>
          <wp:inline distT="0" distB="0" distL="0" distR="0">
            <wp:extent cx="57600" cy="72000"/>
            <wp:docPr id="15539555" name="name168278c9b85761" descr="imgtmp_99906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4.gif"/>
                    <pic:cNvPicPr/>
                  </pic:nvPicPr>
                  <pic:blipFill>
                    <a:blip r:embed="rId168278c9b85724"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 In the 19</w:t>
      </w:r>
      <w:r>
        <w:rPr>
          <w:color w:val="000000"/>
          <w:position w:val="4"/>
          <w:sz w:val="21"/>
          <w:szCs w:val="21"/>
          <w:vertAlign w:val="superscript"/>
        </w:rPr>
        <w:t xml:space="preserve">th</w:t>
      </w:r>
      <w:r>
        <w:rPr>
          <w:color w:val="000000"/>
          <w:sz w:val="24"/>
          <w:szCs w:val="24"/>
        </w:rPr>
        <w:t xml:space="preserve"> century, Laplace expressed this integral as a finite sum in his prominent work in probability theory. Later, mathematicians provided additional approaches to gain this result using, for instance, the Laplace transform or Cauchy's integral theorem. Besides Laplace's stochastic interpretation, Pólya revealed the geometrical meaning of this quantity in 1913, which served as the foundation of a future research topic in convex geometry. However, these methods were not practical enough to calculate this integral conveniently for large values of </w:t>
      </w:r>
      <w:r>
        <w:rPr>
          <w:color w:val="000000"/>
          <w:position w:val="-3"/>
          <w:sz w:val="24"/>
          <w:szCs w:val="24"/>
        </w:rPr>
        <w:drawing>
          <wp:inline distT="0" distB="0" distL="0" distR="0">
            <wp:extent cx="115200" cy="72000"/>
            <wp:docPr id="3389705" name="name168278c9b85850" descr="imgtmp_99906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5.gif"/>
                    <pic:cNvPicPr/>
                  </pic:nvPicPr>
                  <pic:blipFill>
                    <a:blip r:embed="rId168278c9b85814"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Applications in telecommunication during and after the Second World War revitalized determining the Laplace-Pólya integral more efficiently. From this period, we highlight Thompson's article, who proved a powerful recursion formula.</w:t>
      </w:r>
    </w:p>
    <w:p>
      <w:pPr>
        <w:widowControl w:val="on"/>
        <w:pBdr/>
        <w:spacing w:before="240" w:after="240" w:line="240" w:lineRule="auto"/>
        <w:ind w:left="0" w:right="0"/>
        <w:jc w:val="left"/>
      </w:pPr>
      <w:r>
        <w:rPr>
          <w:color w:val="000000"/>
          <w:sz w:val="24"/>
          <w:szCs w:val="24"/>
        </w:rPr>
        <w:t xml:space="preserve">In the present work, relying on Thompson's approach, we study the Laplace-Pólya integral by combinatorial methods. Accordingly, our investigation focuses mainly on the integer values of the function. In my previous thesis, we needed to establish an upper bound for the ratio </w:t>
      </w:r>
      <w:r>
        <w:rPr>
          <w:color w:val="000000"/>
          <w:position w:val="-3"/>
          <w:sz w:val="24"/>
          <w:szCs w:val="24"/>
        </w:rPr>
        <w:drawing>
          <wp:inline distT="0" distB="0" distL="0" distR="0">
            <wp:extent cx="1094400" cy="165600"/>
            <wp:docPr id="35564696" name="name168278c9b85964" descr="imgtmp_99906_hu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6.gif"/>
                    <pic:cNvPicPr/>
                  </pic:nvPicPr>
                  <pic:blipFill>
                    <a:blip r:embed="rId168278c9b85928" cstate="print"/>
                    <a:stretch>
                      <a:fillRect/>
                    </a:stretch>
                  </pic:blipFill>
                  <pic:spPr>
                    <a:xfrm>
                      <a:off x="0" y="0"/>
                      <a:ext cx="1094400" cy="165600"/>
                    </a:xfrm>
                    <a:prstGeom prst="rect">
                      <a:avLst/>
                    </a:prstGeom>
                    <a:ln w="0">
                      <a:noFill/>
                    </a:ln>
                  </pic:spPr>
                </pic:pic>
              </a:graphicData>
            </a:graphic>
          </wp:inline>
        </w:drawing>
      </w:r>
      <w:r>
        <w:rPr>
          <w:color w:val="000000"/>
          <w:sz w:val="24"/>
          <w:szCs w:val="24"/>
        </w:rPr>
        <w:t xml:space="preserve"> for integer values of </w:t>
      </w:r>
      <w:r>
        <w:rPr>
          <w:color w:val="000000"/>
          <w:position w:val="-3"/>
          <w:sz w:val="24"/>
          <w:szCs w:val="24"/>
        </w:rPr>
        <w:drawing>
          <wp:inline distT="0" distB="0" distL="0" distR="0">
            <wp:extent cx="57600" cy="72000"/>
            <wp:docPr id="23927098" name="name168278c9b85a3b" descr="imgtmp_99906_hu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7.gif"/>
                    <pic:cNvPicPr/>
                  </pic:nvPicPr>
                  <pic:blipFill>
                    <a:blip r:embed="rId168278c9b85a00"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 The main result of this thesis is providing a lower bound for the same ratio. The structure of the proof remains similar. However, it was not obvious how to find the appropriate lower bound for which the proof via recursion works. We decided to give a small insight into this process through discussing the key points.</w:t>
      </w:r>
    </w:p>
    <w:p>
      <w:pPr>
        <w:widowControl w:val="on"/>
        <w:pBdr/>
        <w:spacing w:before="240" w:after="240" w:line="240" w:lineRule="auto"/>
        <w:ind w:left="0" w:right="0"/>
        <w:jc w:val="left"/>
      </w:pPr>
      <w:r>
        <w:rPr>
          <w:color w:val="000000"/>
          <w:sz w:val="24"/>
          <w:szCs w:val="24"/>
        </w:rPr>
        <w:t xml:space="preserve">A direct consequence of the central result is extending and generalizing the previous estimates by Lesieur and Nicolas. Yet, our approach is purely combinatorial and elementary, standing in stark contrast with their technically demanding proof. Their article motivated us to explore the connection between the Laplace-Pólya integral and Eulerian numbers as well. Using our estimates, we derive some corollaries for the sequence of the maxima of Eulerian numbers. As a conclusion of our work, we consider generalizing our methods to bound the ratio </w:t>
      </w:r>
      <w:r>
        <w:rPr>
          <w:color w:val="000000"/>
          <w:position w:val="-3"/>
          <w:sz w:val="24"/>
          <w:szCs w:val="24"/>
        </w:rPr>
        <w:drawing>
          <wp:inline distT="0" distB="0" distL="0" distR="0">
            <wp:extent cx="1094400" cy="165600"/>
            <wp:docPr id="50817272" name="name168278c9b85b30" descr="imgtmp_99906_hu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9906_hu_8.gif"/>
                    <pic:cNvPicPr/>
                  </pic:nvPicPr>
                  <pic:blipFill>
                    <a:blip r:embed="rId168278c9b85af5" cstate="print"/>
                    <a:stretch>
                      <a:fillRect/>
                    </a:stretch>
                  </pic:blipFill>
                  <pic:spPr>
                    <a:xfrm>
                      <a:off x="0" y="0"/>
                      <a:ext cx="1094400" cy="165600"/>
                    </a:xfrm>
                    <a:prstGeom prst="rect">
                      <a:avLst/>
                    </a:prstGeom>
                    <a:ln w="0">
                      <a:noFill/>
                    </a:ln>
                  </pic:spPr>
                </pic:pic>
              </a:graphicData>
            </a:graphic>
          </wp:inline>
        </w:drawing>
      </w:r>
      <w:r>
        <w:rPr>
          <w:color w:val="000000"/>
          <w:sz w:val="24"/>
          <w:szCs w:val="24"/>
        </w:rPr>
        <w:t xml:space="preserve"> and its possible consequences regarding central diagonal hyperplane sections of the unit cube.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26285">
    <w:multiLevelType w:val="hybridMultilevel"/>
    <w:lvl w:ilvl="0" w:tplc="16288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26285">
    <w:abstractNumId w:val="56526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337597" Type="http://schemas.openxmlformats.org/officeDocument/2006/relationships/numbering" Target="numbering.xml"/><Relationship Id="rId168278c9b853b8" Type="http://schemas.openxmlformats.org/officeDocument/2006/relationships/image" Target="media/imgrId168278c9b853b8.png"/><Relationship Id="rId168278c9b8553c" Type="http://schemas.openxmlformats.org/officeDocument/2006/relationships/image" Target="media/imgrId168278c9b8553c.gif"/><Relationship Id="rId168278c9b8564f" Type="http://schemas.openxmlformats.org/officeDocument/2006/relationships/image" Target="media/imgrId168278c9b8564f.gif"/><Relationship Id="rId168278c9b85724" Type="http://schemas.openxmlformats.org/officeDocument/2006/relationships/image" Target="media/imgrId168278c9b85724.gif"/><Relationship Id="rId168278c9b85814" Type="http://schemas.openxmlformats.org/officeDocument/2006/relationships/image" Target="media/imgrId168278c9b85814.gif"/><Relationship Id="rId168278c9b85928" Type="http://schemas.openxmlformats.org/officeDocument/2006/relationships/image" Target="media/imgrId168278c9b85928.gif"/><Relationship Id="rId168278c9b85a00" Type="http://schemas.openxmlformats.org/officeDocument/2006/relationships/image" Target="media/imgrId168278c9b85a00.gif"/><Relationship Id="rId168278c9b85af5" Type="http://schemas.openxmlformats.org/officeDocument/2006/relationships/image" Target="media/imgrId168278c9b85af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