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ZSÓFIA SZENES</w:t>
            </w:r>
          </w:p>
          <w:p w:rsidR="00C275A3" w:rsidRDefault="00CA6B74" w:rsidP="00C275A3">
            <w:pPr>
              <w:pStyle w:val="Hallgatokepzes"/>
            </w:pPr>
            <w:r w:rsidRPr="001067CD">
              <w:rPr>
                <w:i/>
              </w:rPr>
              <w:t>szenesezs@gmail.com</w:t>
            </w:r>
            <w:r w:rsidRPr="001067CD">
              <w:rPr>
                <w:i/>
              </w:rPr>
              <w:br/>
            </w:r>
            <w:r w:rsidR="00A96AEC">
              <w:t>International Security and Defence Policy</w:t>
            </w:r>
            <w:r w:rsidR="00A96AEC">
              <w:br/>
            </w:r>
            <w:r w:rsidR="00E77B23">
              <w:t>MSc, 2.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Éva Jakusné Harnos PhD</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emergence and potential of Russian hybrid warfare in the Republic of Moldova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Hybrid warfare; Republic of Moldova; Russian Federation; Gerasimov model; Clausewitzian Center of Gravity</w:t>
      </w:r>
      <w:r>
        <w:t xml:space="preserve"/>
      </w:r>
    </w:p>
    <w:p>
      <w:pPr>
        <w:widowControl w:val="on"/>
        <w:pBdr/>
        <w:spacing w:before="240" w:after="240" w:line="240" w:lineRule="auto"/>
        <w:ind w:left="0" w:right="0"/>
        <w:jc w:val="left"/>
      </w:pPr>
      <w:r>
        <w:rPr>
          <w:color w:val="000000"/>
          <w:sz w:val="24"/>
          <w:szCs w:val="24"/>
        </w:rPr>
        <w:t xml:space="preserve">In February 2023, Moldovan President Maia Sandu asserted in a press conference that the Russian Federation had orchestrated a coup against Chișinau to thwart the country’s European integration efforts. This revelation highlighted the fact that Ukraine’s south-western neighbour is also in the crossfire of Russian hybrid threats, as evidenced by the findings of this paper.</w:t>
      </w:r>
      <w:r>
        <w:rPr>
          <w:color w:val="000000"/>
          <w:sz w:val="24"/>
          <w:szCs w:val="24"/>
        </w:rPr>
        <w:br/>
        <w:t xml:space="preserve">My research examines the emergence and potential of Russian hybrid operations in the Republic of Moldova between October 2021 and October 2023. I employed the analytical framework provided by the US DIME/PMESII and Russian VPO methodologies, as well as Michael D. Reilly’s six-step methodology, incorporating the Clausewitzian Centre of Gravity theory, for a comprehensive analysis of hybrid operations.</w:t>
      </w:r>
      <w:r>
        <w:rPr>
          <w:color w:val="000000"/>
          <w:sz w:val="24"/>
          <w:szCs w:val="24"/>
        </w:rPr>
        <w:br/>
        <w:t xml:space="preserve">Initially, I address the definitional challenges surrounding Russian hybrid warfare, prevalent in both domestic, Russian, and international literature, and present the characteristics of the Gerasimov model. Additionally, I provide a geopolitical and historical overview, identifying key elements pertinent to the events of the period under study. In the subsequent chapter, I analyze these events from three perspectives (military, economic, and political–social), elucidating key correlations such as the one between the emerging cost-of-living crisis and the rise of pro-Russian parties in Moldova. Furthermore, utilizing Reilly’s methodology, I identify the Clausewitzian Centre of Gravity of hybrid operations against Moldova as well as their critical vulnerabilities. Finally, I conclude the paper by summarizing the findings and addressing the research questions posed earlier.</w:t>
      </w:r>
      <w:r>
        <w:rPr>
          <w:color w:val="000000"/>
          <w:sz w:val="24"/>
          <w:szCs w:val="24"/>
        </w:rPr>
        <w:br/>
        <w:t xml:space="preserve">Although the topic of Russian hybrid warfare has a significant literary foundation, investigating the phenomenon through the lens of Moldova represents a novel approach, considering both domestic and international scholarship. As a theoretical contribution, the paper advocates for an extensive redefinition of hybrid warfare within the domestic academic discourse. Furthermore, it demonstrates the applicability of Reilly’s CoG theory-based methodology in post-Soviet space vis-à-vis Russian hybrid warfare. Ultimately, the results of the research pave the way for further investigation, providing insights useful for the development of strategies to counter Russian hybrid warfare, whether in Moldova or in other European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87356">
    <w:multiLevelType w:val="hybridMultilevel"/>
    <w:lvl w:ilvl="0" w:tplc="93496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87356">
    <w:abstractNumId w:val="97587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098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