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CSÁKI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cslilla109@gmail.com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Szenes Zoltán, Prof. emeritus, ny. vezérezredes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Szerbia és a Republika Srpska nemzetközi külpolitikai kapcsolatai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Szerbia; Republika Srpska; szerepelmélet; külpolitikai kapcsolatok;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2022-es Nemzeti Biztonsági Stratégiája és 2024. július 1-jén induló EU elnökségi program szerint, a Nyugat- Balkán térségi stabilitásának megőrzése kulcsfontosságú hazánk és a régió számára, ezért elengedhetetlen, hogy megértsük a két ország / köztársaság közötti külpolitikai folyamatokat, amelyek a nemzetközi térben elfoglalt helyüket meghatározzák. Kifejezetten igaz ez Szerbia esetében, amely jelentős gazdasági partner Magyarország számára.</w:t>
      </w:r>
      <w:r>
        <w:rPr>
          <w:color w:val="000000"/>
          <w:sz w:val="24"/>
          <w:szCs w:val="24"/>
        </w:rPr>
        <w:br/>
        <w:t xml:space="preserve">Szerbia 2012-ben kapott tagjelölti státuszt az Európai Unió Tanácsától, azóta pedig 22 tárgyalási fejezetet nyitottak meg. Az integrációs folyamat ennek ellenére meglehetősen lassú, hiányosságok főként a jogállamiság és alapvető jogok biztosítása területén figyelhetők meg. A teljes körű integráció pedig nem valósulhat meg az ország határvitáinak rendezése nélkül, elsősorban Koszovó esetében.</w:t>
      </w:r>
      <w:r>
        <w:rPr>
          <w:color w:val="000000"/>
          <w:sz w:val="24"/>
          <w:szCs w:val="24"/>
        </w:rPr>
        <w:br/>
        <w:t xml:space="preserve">Mindezt tovább nehezítik a Republika Srpska vezetőinek szeparatista törekvései Milorad Dodik hivatalba lépése óta. A Daytoni Békeszerződés értelmében, az entitásoknak lehetőségük van speciális bilaterális kapcsolatok létrehozására, melyet a vezetők ki is használnak egy saját kül- és biztonságpolitika kialakítására. Bosznia-Hercegovina 2022 decemberében ugyan tagjelölti státuszt kapott, ez valójában politikai megfontolásból történt. A szerb entitás magatartása veszélyezteti Bosznia-Hercegovina államiságát, illetve befolyásolja a többnemzeti ország integrációs törekvéseit.</w:t>
      </w:r>
      <w:r>
        <w:rPr>
          <w:color w:val="000000"/>
          <w:sz w:val="24"/>
          <w:szCs w:val="24"/>
        </w:rPr>
        <w:br/>
        <w:t xml:space="preserve">A két külpolitikai szereplő kapcsolatai tehát számos szálon futnak, melyet egyaránt alátámaszt a szerb, illetve bosznia-hercegovinai alkotmány. Az elmúlt években megfigyelhető, hogy a Republika Srpska vezetői igyekeznek külpolitikájukat a szerb államéval harmonizálni, azonban az intézményi és jogi keretek nem biztosítják számukra ugyanazokat a feltételeket. Mindez azt eredményezi, hogy míg külpolitikai szerepfelfogásuk a közös történelemnek, kultúrának és kapcsolatoknak köszönhetően sok esetben hasonló, a politikai megvalósíthatósága eltérő</w:t>
      </w:r>
      <w:r>
        <w:rPr>
          <w:color w:val="000000"/>
          <w:sz w:val="24"/>
          <w:szCs w:val="24"/>
        </w:rPr>
        <w:br/>
        <w:t xml:space="preserve">A dolgozat célja bemutatni azokat a fontosabb történelmi, politikai eseményeket, illetve stratégiai dokumentumokat, amelyek Szerbia és a Republika Srpska szerepfelfogását, illetve ezen kapcsolatok fejlődésének lehetőségét formálták a nemzetközi térben. Az összehasonlítás figyelembe veszi az egyes aktorok politikai, gazdasági és katonai jelenlétét, illetve azok hatását a két ország euro-atlanti integrációjára.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05362">
    <w:multiLevelType w:val="hybridMultilevel"/>
    <w:lvl w:ilvl="0" w:tplc="77632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05362">
    <w:abstractNumId w:val="11505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743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