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CSÁKI</w:t>
            </w:r>
          </w:p>
          <w:p w:rsidR="00C275A3" w:rsidRDefault="00CA6B74" w:rsidP="00C275A3">
            <w:pPr>
              <w:pStyle w:val="Hallgatokepzes"/>
            </w:pPr>
            <w:r w:rsidRPr="001067CD">
              <w:rPr>
                <w:i/>
              </w:rPr>
              <w:t>cslilla109@gmail.com</w:t>
            </w:r>
            <w:r w:rsidRPr="001067CD">
              <w:rPr>
                <w:i/>
              </w:rPr>
              <w:br/>
            </w:r>
            <w:r w:rsidR="00A96AEC">
              <w:t>International Security and Defense Policy</w:t>
            </w:r>
            <w:r w:rsidR="00A96AEC">
              <w:br/>
            </w:r>
            <w:r w:rsidR="00E77B23">
              <w:t>MSc, 2.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Em. General (Rtd.) Dr. Zoltán Szenes</w:t>
            </w:r>
          </w:p>
          <w:p w:rsidR="00DB4822" w:rsidRDefault="00DB4822" w:rsidP="00BA6BAF">
            <w:pPr>
              <w:pStyle w:val="Konzulensektitulus"/>
            </w:pPr>
            <w:r w:rsidRPr="00DB4822">
              <w:t>professor emeritus,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International Foreign Policy Relations of Serbia and Republika Srpska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Serbia; Republika Srpska; role theory; international relations; strategy</w:t>
      </w:r>
      <w:r>
        <w:t xml:space="preserve"/>
      </w:r>
    </w:p>
    <w:p>
      <w:pPr>
        <w:widowControl w:val="on"/>
        <w:pBdr/>
        <w:spacing w:before="240" w:after="240" w:line="240" w:lineRule="auto"/>
        <w:ind w:left="0" w:right="0"/>
        <w:jc w:val="left"/>
      </w:pPr>
      <w:r>
        <w:rPr>
          <w:color w:val="000000"/>
          <w:sz w:val="24"/>
          <w:szCs w:val="24"/>
        </w:rPr>
        <w:t xml:space="preserve">According to Hungary's National Security Strategy 2022 and the EU Presidency programme starting on 1 July 2024, preserving the regional stability of the Western Balkans is key for Hungary and the region, and it is therefore essential to understand the foreign policy processes between the two countries/republics that determine their position in the international space. This is particularly true in the case of Serbia, which is an important economic partner for Hungary.</w:t>
      </w:r>
      <w:r>
        <w:rPr>
          <w:color w:val="000000"/>
          <w:sz w:val="24"/>
          <w:szCs w:val="24"/>
        </w:rPr>
        <w:br/>
        <w:t xml:space="preserve">Serbia was granted candidate status by the Council of the European Union in 2012 and since then 22 negotiating chapters have been opened. Nevertheless, the integration process has been rather slow, with shortcomings mainly in the areas of the rule of law and fundamental rights. Full integration cannot be achieved without resolving the country's border disputes, especially in the case of Kosovo.</w:t>
      </w:r>
      <w:r>
        <w:rPr>
          <w:color w:val="000000"/>
          <w:sz w:val="24"/>
          <w:szCs w:val="24"/>
        </w:rPr>
        <w:br/>
        <w:t xml:space="preserve">This is further complicated by the separatist ambitions of the Republika Srpska leadership since Milorad Dodik took office. Under the Dayton Peace Accords, entities have the possibility to establish special bilateral relations, which the leaders have used to develop their own foreign and security policy. Although Bosnia and Herzegovina was granted candidate status in December 2022, this was in fact for political reasons. The behaviour of the Serbian entity threatens the statehood of Bosnia and Herzegovina and affects the integration aspirations of the multi-national country.</w:t>
      </w:r>
      <w:r>
        <w:rPr>
          <w:color w:val="000000"/>
          <w:sz w:val="24"/>
          <w:szCs w:val="24"/>
        </w:rPr>
        <w:br/>
        <w:t xml:space="preserve">The relationship between the two foreign policy actors is thus multifaceted and is underpinned by both the Serbian and the BiH constitutions. In recent years, Republika Srpska's leaders have sought to harmonize their foreign policy with that of the Serbian state, but the institutional and legal framework does not provide them with the same conditions. As a result, while their foreign policy roles are in many cases similar due to their shared history, culture and relations, the political feasibility of their respective roles is different.</w:t>
      </w:r>
      <w:r>
        <w:rPr>
          <w:color w:val="000000"/>
          <w:sz w:val="24"/>
          <w:szCs w:val="24"/>
        </w:rPr>
        <w:br/>
        <w:t xml:space="preserve">The aim of this paper is to present the most important historical, political events and strategic documents that have shaped the role of Serbia and Republika Srpska and the possibilities for the development of these relations in the international arena. The comparison considers the political, economic and military presence of the various actors and their impact on the Euro-Atlantic integration of the two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49972">
    <w:multiLevelType w:val="hybridMultilevel"/>
    <w:lvl w:ilvl="0" w:tplc="28344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49972">
    <w:abstractNumId w:val="407499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10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