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VERONIKA SALY</w:t>
            </w:r>
          </w:p>
          <w:p w:rsidR="00C275A3" w:rsidRDefault="00CA6B74" w:rsidP="00C275A3">
            <w:pPr>
              <w:pStyle w:val="Hallgatokepzes"/>
            </w:pPr>
            <w:r w:rsidRPr="001067CD">
              <w:rPr>
                <w:i/>
              </w:rPr>
              <w:t>saly.veronika@stud.uni-nke.hu</w:t>
            </w:r>
            <w:r w:rsidRPr="001067CD">
              <w:rPr>
                <w:i/>
              </w:rPr>
              <w:br/>
            </w:r>
            <w:r w:rsidR="00A96AEC">
              <w:t>International Security and Defence Policy bachelor programme</w:t>
            </w:r>
            <w:r w:rsidR="00A96AEC">
              <w:br/>
            </w:r>
            <w:r w:rsidR="00E77B23">
              <w:t>BSc, 4. semester</w:t>
            </w:r>
          </w:p>
          <w:p w:rsidR="00C265CE" w:rsidRPr="009E5FF1" w:rsidRDefault="00E77B23" w:rsidP="00BA6BAF">
            <w:pPr>
              <w:pStyle w:val="Hallgatointezmeny-kar"/>
              <w:rPr>
                <w:b/>
                <w:caps/>
              </w:rPr>
            </w:pPr>
            <w:r>
              <w:t>Ludovika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Lieutenant Colonel József Holecz</w:t>
            </w:r>
          </w:p>
          <w:p w:rsidR="00DB4822" w:rsidRDefault="00DB4822" w:rsidP="00BA6BAF">
            <w:pPr>
              <w:pStyle w:val="Konzulensektitulus"/>
            </w:pPr>
            <w:r w:rsidRPr="00DB4822">
              <w:t>assistant lecturer,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Defence Management Regulation 2019-2024</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Defence administration; special legal order; security environment; reform</w:t>
      </w:r>
      <w:r>
        <w:t xml:space="preserve"/>
      </w:r>
    </w:p>
    <w:p>
      <w:pPr>
        <w:widowControl w:val="on"/>
        <w:pBdr/>
        <w:spacing w:before="240" w:after="240" w:line="240" w:lineRule="auto"/>
        <w:ind w:left="0" w:right="0"/>
        <w:jc w:val="left"/>
      </w:pPr>
      <w:r>
        <w:rPr>
          <w:color w:val="000000"/>
          <w:sz w:val="24"/>
          <w:szCs w:val="24"/>
        </w:rPr>
        <w:t xml:space="preserve">In my view, the security factors of the 21st century have indicated a major reform of the defence management system, which will fundamentally change the methods of crisis management. In this way, the defence administration regulation is in a period of transition, with which the legislator's position is to be simplified for the period of the special legal order. In order to prepare for it, and in this way to strengthen the whole-of-government decision-making, the defence administration regulation is to be reformed, which will serve the unified construction of the defence administration.</w:t>
      </w:r>
      <w:r>
        <w:rPr>
          <w:color w:val="000000"/>
          <w:sz w:val="24"/>
          <w:szCs w:val="24"/>
        </w:rPr>
        <w:br/>
        <w:t xml:space="preserve">To examine this, an exploration of the security environment is essential, as the 21st century has brought a complex security environment for which no one was prepared. In the wake of the management of the events that have occurred, those at the strategic political level have been confronted with a lack of regulation and a lack of transparency. It became increasingly clear that in order to respond to emerging crises and security challenges, it was necessary to standardise the rules and to lay down a regulatory framework of applicable methods to facilitate whole-of-government decision-making.</w:t>
      </w:r>
      <w:r>
        <w:rPr>
          <w:color w:val="000000"/>
          <w:sz w:val="24"/>
          <w:szCs w:val="24"/>
        </w:rPr>
        <w:br/>
        <w:t xml:space="preserve">With the aim of responding to the environment, the system of defence management has recently undergone a fundamental transformation with the adoption of Law XCIII of 2021 on the coordination of defence and security activities, which introduces a new direction to achieve a more stable, whole-of-government crisis management. As part of the reform, the special legal order was reformed, making it much more transparent and simpler.</w:t>
      </w:r>
      <w:r>
        <w:rPr>
          <w:color w:val="000000"/>
          <w:sz w:val="24"/>
          <w:szCs w:val="24"/>
        </w:rPr>
        <w:br/>
        <w:t xml:space="preserve">For the purpose of my thesis, I would like to discuss the Act XCIII of 2021 on the Coordination of Defence and Security Activities and its relation to the higher strategic document, the National Security Strategy of Hungary.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789531">
    <w:multiLevelType w:val="hybridMultilevel"/>
    <w:lvl w:ilvl="0" w:tplc="566524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789531">
    <w:abstractNumId w:val="347895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33591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