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HORVÁTH</w:t>
            </w:r>
          </w:p>
          <w:p w:rsidR="00C275A3" w:rsidRDefault="00CA6B74" w:rsidP="00C275A3">
            <w:pPr>
              <w:pStyle w:val="Hallgatokepzes"/>
            </w:pPr>
            <w:r w:rsidRPr="001067CD">
              <w:rPr>
                <w:i/>
              </w:rPr>
              <w:t>hlevente45@gmail.com</w:t>
            </w:r>
            <w:r w:rsidRPr="001067CD">
              <w:rPr>
                <w:i/>
              </w:rPr>
              <w:br/>
            </w:r>
            <w:r w:rsidR="00A96AEC">
              <w:t>International Relations</w:t>
            </w:r>
            <w:r w:rsidR="00A96AEC">
              <w:br/>
            </w:r>
            <w:r w:rsidR="00E77B23">
              <w:t>BA, 6.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Becsey</w:t>
            </w:r>
          </w:p>
          <w:p w:rsidR="00DB4822" w:rsidRDefault="00DB4822" w:rsidP="00BA6BAF">
            <w:pPr>
              <w:pStyle w:val="Konzulensektitulus"/>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chance of the Budapest Olympics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Budapest Olympics; PwC study; Agenda 2020; economic impacts; sustainability</w:t>
      </w:r>
      <w:r>
        <w:t xml:space="preserve"/>
      </w:r>
    </w:p>
    <w:p>
      <w:pPr>
        <w:widowControl w:val="on"/>
        <w:pBdr/>
        <w:spacing w:before="240" w:after="240" w:line="240" w:lineRule="auto"/>
        <w:ind w:left="0" w:right="0"/>
        <w:jc w:val="left"/>
      </w:pPr>
      <w:r>
        <w:rPr>
          <w:color w:val="000000"/>
          <w:sz w:val="24"/>
          <w:szCs w:val="24"/>
        </w:rPr>
        <w:t xml:space="preserve">The central theme of this thesis is the study of the organisation of the Summer Olympics in Budapest. The starting point of the analysis is that the Olympic Games are not only sporting events, but also have a significant cultural, economic and social impact on the host cities and countries. The history of the Olympic movement, the role of the International Olympic Committee (IOC) and the Hungarian Olympic tradition and bidding experience are described in detail.</w:t>
      </w:r>
    </w:p>
    <w:p>
      <w:pPr>
        <w:widowControl w:val="on"/>
        <w:pBdr/>
        <w:spacing w:before="240" w:after="240" w:line="240" w:lineRule="auto"/>
        <w:ind w:left="0" w:right="0"/>
        <w:jc w:val="left"/>
      </w:pPr>
      <w:r>
        <w:rPr>
          <w:color w:val="000000"/>
          <w:sz w:val="24"/>
          <w:szCs w:val="24"/>
        </w:rPr>
        <w:br/>
        <w:t xml:space="preserve">The analysis highlights Budapest's infrastructural and economic situation, highlighting the main findings of the 2015 PwC feasibility study. This study concluded that Hungary and Budapest could have hosted the Olympics, and that it would have been financially feasible and economically advantageous. The study details the bidding process, the importance of Agenda 2020 reforms, and sustainability and environmental considerations.</w:t>
      </w:r>
    </w:p>
    <w:p>
      <w:pPr>
        <w:widowControl w:val="on"/>
        <w:pBdr/>
        <w:spacing w:before="240" w:after="240" w:line="240" w:lineRule="auto"/>
        <w:ind w:left="0" w:right="0"/>
        <w:jc w:val="left"/>
      </w:pPr>
      <w:r>
        <w:rPr>
          <w:color w:val="000000"/>
          <w:sz w:val="24"/>
          <w:szCs w:val="24"/>
        </w:rPr>
        <w:br/>
        <w:t xml:space="preserve">The paper highlights the positive impacts of the Olympics, such as enhancing the city's image, tourism and infrastructure development, but also draws attention to the potential economic and political obstacles and the role of public opinion.</w:t>
      </w:r>
    </w:p>
    <w:p>
      <w:pPr>
        <w:widowControl w:val="on"/>
        <w:pBdr/>
        <w:spacing w:before="240" w:after="240" w:line="240" w:lineRule="auto"/>
        <w:ind w:left="0" w:right="0"/>
        <w:jc w:val="left"/>
      </w:pPr>
      <w:r>
        <w:rPr>
          <w:color w:val="000000"/>
          <w:sz w:val="24"/>
          <w:szCs w:val="24"/>
        </w:rPr>
        <w:br/>
        <w:t xml:space="preserve">Finally, the study examines the reasons for the rejection of the Budapest bid and the possibilities for future bids, taking into account the tradition and international role of Hungarian sport.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22499">
    <w:multiLevelType w:val="hybridMultilevel"/>
    <w:lvl w:ilvl="0" w:tplc="24989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22499">
    <w:abstractNumId w:val="27222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289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