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KÁSA ALEXANDRA-ADRIEN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kasa-alexandra@partium.ro</w:t>
            </w:r>
            <w:r w:rsidRPr="001067CD">
              <w:rPr>
                <w:i/>
              </w:rPr>
              <w:br/>
            </w:r>
            <w:r w:rsidR="00A96AEC">
              <w:t>Bank- és pénzügyek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Králik Lóránd-István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kamatok hatása a lakossági és vállalati betét- és hitelállományra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bank, pénzáramlás, finanszírozás, megtakarítások, bankbetétek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bankokat törvények és rendeletek szabályozzák, amelyeknek célja, hogy a hitelintézetek biztonságosan, tisztességesen és a pénzügyi elvekkel összhangban működjenek. A bankok elősegítik a pénz áramlását a társadalomban a megtakarítóktól a pénz felhasználói irányában, és ösztönözik a gazdasági növekedést azáltal, hogy finanszírozáshoz juttatják az embereket és</w:t>
      </w:r>
      <w:r>
        <w:rPr>
          <w:color w:val="000000"/>
          <w:sz w:val="24"/>
          <w:szCs w:val="24"/>
        </w:rPr>
        <w:br/>
        <w:t xml:space="preserve">a vállalkozásokat. A megtakarításokat és különösen a betéteket közvetlen hitelmechanizmusok révén a reáltermelés forrásaként használják fel és ennek alapján nő az ország nemzeti jövedelme és jóléte. A lakossági megtakarítások szerkezetét tekintve az eszközök számottevő – Romániában mintegy 17 százalékát – teszik ki a bankbetétek, amellyel a háztartások többsége rendelkezik, ugyanakkor a háztartások jelentős része képtelen megtakarítások képzésére, s így bevételeik bizonyos hányadának a bankokban történő elhelyezése szóba sem jöhet. Romániában a lakosság körében a banki ügyfelek aránya 60%,</w:t>
      </w:r>
      <w:r>
        <w:rPr>
          <w:color w:val="000000"/>
          <w:sz w:val="24"/>
          <w:szCs w:val="24"/>
        </w:rPr>
        <w:br/>
        <w:t xml:space="preserve">míg az alapvető pénzügyi szolgáltatások igénybevétele a legalacsonyabb Európában.</w:t>
      </w:r>
      <w:r>
        <w:rPr>
          <w:color w:val="000000"/>
          <w:sz w:val="24"/>
          <w:szCs w:val="24"/>
        </w:rPr>
        <w:br/>
        <w:t xml:space="preserve">Dolgozatom azt vizsgálja, hogy a romániai háztartások milyen megtakarításai szokásai vannak, valamint milyen a fizetési kultúrájuk.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32855">
    <w:multiLevelType w:val="hybridMultilevel"/>
    <w:lvl w:ilvl="0" w:tplc="803864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32855">
    <w:abstractNumId w:val="549328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9572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