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KIS</w:t>
            </w:r>
          </w:p>
          <w:p w:rsidR="00C275A3" w:rsidRDefault="00CA6B74" w:rsidP="00C275A3">
            <w:pPr>
              <w:pStyle w:val="Hallgatokepzes"/>
            </w:pPr>
            <w:r w:rsidRPr="001067CD">
              <w:rPr>
                <w:i/>
              </w:rPr>
              <w:t>kis.henrietta3@gmail.com</w:t>
            </w:r>
            <w:r w:rsidRPr="001067CD">
              <w:rPr>
                <w:i/>
              </w:rPr>
              <w:br/>
            </w:r>
            <w:r w:rsidR="00A96AEC">
              <w:t>Banking and finance</w:t>
            </w:r>
            <w:r w:rsidR="00A96AEC">
              <w:br/>
            </w:r>
            <w:r w:rsidR="00E77B23">
              <w:t>BA, 6. semester</w:t>
            </w:r>
          </w:p>
          <w:p w:rsidR="00C265CE" w:rsidRPr="009E5FF1" w:rsidRDefault="00E77B23" w:rsidP="00BA6BAF">
            <w:pPr>
              <w:pStyle w:val="Hallgatointezmeny-kar"/>
              <w:rPr>
                <w:b/>
                <w:caps/>
              </w:rPr>
            </w:pPr>
            <w:r>
              <w:t>Partium Christian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Erzsébet Szász</w:t>
            </w:r>
          </w:p>
          <w:p w:rsidR="00DB4822" w:rsidRDefault="00DB4822" w:rsidP="00BA6BAF">
            <w:pPr>
              <w:pStyle w:val="Konzulensektitulus"/>
            </w:pPr>
            <w:r w:rsidRPr="00DB4822">
              <w:t>associate professor,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dimensions of creative accounting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creative accounting; accounting manipulation; accounting fraud; accounting scandals; corporate real image</w:t>
      </w:r>
      <w:r>
        <w:t xml:space="preserve"/>
      </w:r>
    </w:p>
    <w:p>
      <w:pPr>
        <w:widowControl w:val="on"/>
        <w:pBdr/>
        <w:spacing w:before="240" w:after="240" w:line="240" w:lineRule="auto"/>
        <w:ind w:left="0" w:right="0"/>
        <w:jc w:val="left"/>
      </w:pPr>
      <w:r>
        <w:rPr>
          <w:color w:val="000000"/>
          <w:sz w:val="24"/>
          <w:szCs w:val="24"/>
        </w:rPr>
        <w:t xml:space="preserve">Although creativity and accounting seem to be two concepts that are difficult to associate, there is an existing term that proves that they are indeed related, and that is creative accounting. In some ways, creative accounting represents a dynamic approach within traditional accounting practices that approaches business processes and financial events with an innovative and creative perspective. Still, in others, it is often portrayed as a controversial practice involving manipulating financial data to achieve desired results, which poses a complex ethical dilemma in corporate finance. This paper seeks to explore the multiple dimensions of creative accounting. To do so, I build a clearer picture of the meaning and perception of creative accounting and explore a nuanced perspective of creative accounting as a necessary evil in business. I will also discuss the reasons for the use of creative accounting and describe its distinctive techniques, exploring its motivations, methods, consequences, ethical dimensions, and regulatory challenges through corporate examples.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47594">
    <w:multiLevelType w:val="hybridMultilevel"/>
    <w:lvl w:ilvl="0" w:tplc="72033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47594">
    <w:abstractNumId w:val="997475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49451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