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BALLA</w:t>
            </w:r>
          </w:p>
          <w:p w:rsidR="00C275A3" w:rsidRDefault="00CA6B74" w:rsidP="00C275A3">
            <w:pPr>
              <w:pStyle w:val="Hallgatokepzes"/>
            </w:pPr>
            <w:r w:rsidRPr="001067CD">
              <w:rPr>
                <w:i/>
              </w:rPr>
              <w:t>ballajanos2002@gmail.com</w:t>
            </w:r>
            <w:r w:rsidRPr="001067CD">
              <w:rPr>
                <w:i/>
              </w:rPr>
              <w:br/>
            </w:r>
            <w:r w:rsidR="00A96AEC">
              <w:t>Finance</w:t>
            </w:r>
            <w:r w:rsidR="00A96AEC">
              <w:br/>
            </w:r>
            <w:r w:rsidR="00E77B23">
              <w:t>MA, 2.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Lóránd-István Králik, Ph.D.</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Foreign Direct Investment in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FDI (F21), human development index (J24), investment (F21), European Union (O52), regression model (C30)</w:t>
      </w:r>
      <w:r>
        <w:t xml:space="preserve"/>
      </w:r>
    </w:p>
    <w:p>
      <w:pPr>
        <w:widowControl w:val="on"/>
        <w:pBdr/>
        <w:spacing w:before="240" w:after="240" w:line="240" w:lineRule="auto"/>
        <w:ind w:left="0" w:right="0"/>
        <w:jc w:val="left"/>
      </w:pPr>
      <w:r>
        <w:rPr>
          <w:color w:val="000000"/>
          <w:sz w:val="24"/>
          <w:szCs w:val="24"/>
        </w:rPr>
        <w:t xml:space="preserve">Foreign direct investment (FDI) refers to an investment in a foreign company or the creation of a new one, in which the investor can influence its operations thanks to the significant stake acquired. The main reasons behind these business decisions are market development or access to new customers and resources. Several studies have shown that FDI stimulates economic growth in the host country, acting as a channel for technology transfer between countries, creating new jobs for the population, building long-term relationships between nations, and deepening an additional level of international trade.</w:t>
      </w:r>
      <w:r>
        <w:rPr>
          <w:color w:val="000000"/>
          <w:sz w:val="24"/>
          <w:szCs w:val="24"/>
        </w:rPr>
        <w:br/>
        <w:t xml:space="preserve">In this study, I will examine the extent of capital inflows into the European Union over the last 20 years. I will also look at the relationship between FDI and various economic and IT indicators, such as the human development index, internet penetration, and GDP. I test the strength of the relationships using multivariate regression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41503">
    <w:multiLevelType w:val="hybridMultilevel"/>
    <w:lvl w:ilvl="0" w:tplc="56086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41503">
    <w:abstractNumId w:val="64041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963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