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BOTOS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aki_botos@yahoo.com</w:t>
            </w:r>
            <w:r w:rsidRPr="001067CD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Veres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Egyetemi adjunktus, RO PKE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Kulcsár Edina-Éva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fenntarthatósági szempontok hatásai a vállalati működésre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vállalati teljesítmény; vállalati kockázat; környezet; társadalom; vállalatirányítás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vállalati társadalmi felelősségvállalás (CSR), valamint a kapcsolódó környezeti, társadalmi és irányítási kérdések (ESG) napjaninkban egyre növekvő prioritást élveznek. Az ESG, mint rövidítés egy relatíve újkeletű fogalom, amelynek 3 pillére van: Environmental (környezeti), Social (társadalmi) és Governance (irányítási). Az elmúlt évek trendjei arra buzdítják a vállalatokat, hogy adaptálják ezeket a nézőpontokat működésükben. De miért is érdekes az ESG és a pénzügyi teljesítmény közötti kapcsolatvizsgálata?</w:t>
      </w:r>
      <w:r>
        <w:rPr>
          <w:color w:val="000000"/>
          <w:sz w:val="24"/>
          <w:szCs w:val="24"/>
        </w:rPr>
        <w:br/>
        <w:t xml:space="preserve">Bár az ESG-tevékenység motivációja közvetlenül nem jelenik meg a cégek pénzügyi beszámolóiban, ezen törekvésből származó előnyök és költségek általában többé-kevésbé érzékelhetőek az eredmény-kimutatásban. A környezeti fenntarthatóság és CSR irányába tett intézkedések a nem-pénzügyi beszámolóban jelennek meg.</w:t>
      </w:r>
      <w:r>
        <w:rPr>
          <w:color w:val="000000"/>
          <w:sz w:val="24"/>
          <w:szCs w:val="24"/>
        </w:rPr>
        <w:br/>
        <w:t xml:space="preserve">Különböző, független ESG minősítőtől származó besorolást vizsgálom a vállalati teljesítménnyel, vállalati kockázattal kapcsolatban. A vállalati teljesítményt egyrészt számviteli alapú (ROA, ROE)-val mérném, másrészt a piaci alapú mutatókkal (Tobin q) mérném. A kockázatot szórás, kockáztatott érték (VaR ) működési tőkeáttétel, pénzügyi tőkeáttétel és piaci bétával számszerűsítem. A választott cégek vasúti árufuvarozással foglalkoznak.</w:t>
      </w:r>
      <w:r>
        <w:rPr>
          <w:color w:val="000000"/>
          <w:sz w:val="24"/>
          <w:szCs w:val="24"/>
        </w:rPr>
        <w:br/>
        <w:t xml:space="preserve">A dolgozat egyik fő hipotézise az, hogy a magas ESG besorolás pozitív hatással van a vállalati teljesítményre, kockázatra, amit különböző statisztikai módszerekkel szeretnék alátámasztani.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019815">
    <w:multiLevelType w:val="hybridMultilevel"/>
    <w:lvl w:ilvl="0" w:tplc="16904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019815">
    <w:abstractNumId w:val="700198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3424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