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BOTOS</w:t>
            </w:r>
          </w:p>
          <w:p w:rsidR="00C275A3" w:rsidRDefault="00CA6B74" w:rsidP="00C275A3">
            <w:pPr>
              <w:pStyle w:val="Hallgatokepzes"/>
            </w:pPr>
            <w:r w:rsidRPr="001067CD">
              <w:rPr>
                <w:i/>
              </w:rPr>
              <w:t>aki_botos@yahoo.com</w:t>
            </w:r>
            <w:r w:rsidRPr="001067CD">
              <w:rPr>
                <w:i/>
              </w:rPr>
              <w:br/>
            </w:r>
            <w:r w:rsidR="00A96AEC">
              <w:t>Finance</w:t>
            </w:r>
            <w:r w:rsidR="00A96AEC">
              <w:br/>
            </w:r>
            <w:r w:rsidR="00E77B23">
              <w:t>MA, 4.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Edit Veres, PhD</w:t>
            </w:r>
          </w:p>
          <w:p w:rsidR="00DB4822" w:rsidRDefault="00DB4822" w:rsidP="00BA6BAF">
            <w:pPr>
              <w:pStyle w:val="Konzulensektitulus"/>
            </w:pPr>
            <w:r w:rsidRPr="00DB4822">
              <w:t>Head of Department, Lecturer  , RO PKE</w:t>
            </w:r>
          </w:p>
        </w:tc>
      </w:tr>
      <w:tr w:rsidR="00DB4822" w:rsidTr="00DB4822">
        <w:tc>
          <w:tcPr>
            <w:tcW w:w="9854" w:type="dxa"/>
          </w:tcPr>
          <w:p w:rsidR="00DB4822" w:rsidRPr="00DB4822" w:rsidRDefault="00DB4822" w:rsidP="00BA6BAF">
            <w:pPr>
              <w:pStyle w:val="Konzulenseknev"/>
            </w:pPr>
            <w:r w:rsidRPr="00DB4822">
              <w:t>Edina Éva Kulcsár, PhD</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sustainability aspects on corporate performance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performance; corporate risk; social; environmental; governance</w:t>
      </w:r>
      <w:r>
        <w:t xml:space="preserve"/>
      </w:r>
    </w:p>
    <w:p>
      <w:pPr>
        <w:widowControl w:val="on"/>
        <w:pBdr/>
        <w:spacing w:before="240" w:after="240" w:line="240" w:lineRule="auto"/>
        <w:ind w:left="0" w:right="0"/>
        <w:jc w:val="left"/>
      </w:pPr>
      <w:r>
        <w:rPr>
          <w:color w:val="000000"/>
          <w:sz w:val="24"/>
          <w:szCs w:val="24"/>
        </w:rPr>
        <w:t xml:space="preserve">Corporate Social Responsibility (CSR) and related environmental, social and governance (ESG) issues are becoming an increasing priority today. ESG, as an acronym, is a relatively recent concept with three pillars: environmental, social and governance. Recent trends have encouraged companies to adopt these perspectives in their operations. But why is examining the link between ESG and financial performance interesting?</w:t>
      </w:r>
      <w:r>
        <w:rPr>
          <w:color w:val="000000"/>
          <w:sz w:val="24"/>
          <w:szCs w:val="24"/>
        </w:rPr>
        <w:br/>
        <w:t xml:space="preserve">Although the motivation for ESG activity is not directly reflected in companies' financial statements, the benefits and costs of this effort are generally more or less visible in the income statement. Actions taken towards environmental sustainability and CSR are reflected in the non-financial reporting.</w:t>
      </w:r>
      <w:r>
        <w:rPr>
          <w:color w:val="000000"/>
          <w:sz w:val="24"/>
          <w:szCs w:val="24"/>
        </w:rPr>
        <w:br/>
        <w:t xml:space="preserve">I examine different rating scores from independent ESG rating agencies in relation to corporate performance and corporate risk. I would measure corporate performance using accounting-based (ROA, ROE) on the one hand and market-based indicators (Tobin's q) on the other. I would quantify risk using variance, value at risk (VaR), operating leverage, financial leverage and market beta. The chosen firms are active in rail freight transport.</w:t>
      </w:r>
      <w:r>
        <w:rPr>
          <w:color w:val="000000"/>
          <w:sz w:val="24"/>
          <w:szCs w:val="24"/>
        </w:rPr>
        <w:br/>
        <w:t xml:space="preserve">One of the thesis's main hypotheses is that a high ESG rating has a positive impact on firm performance and risk, which I would like to support with different statistical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11550">
    <w:multiLevelType w:val="hybridMultilevel"/>
    <w:lvl w:ilvl="0" w:tplc="52785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11550">
    <w:abstractNumId w:val="81611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144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