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82"/>
        <w:gridCol w:w="1217"/>
        <w:gridCol w:w="1146"/>
        <w:gridCol w:w="943"/>
        <w:gridCol w:w="1526"/>
        <w:gridCol w:w="3254"/>
      </w:tblGrid>
      <w:tr w:rsidR="00240610" w:rsidRPr="001052D1" w:rsidTr="00915D90">
        <w:trPr>
          <w:trHeight w:val="300"/>
        </w:trPr>
        <w:tc>
          <w:tcPr>
            <w:tcW w:w="2282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bookmarkStart w:id="0" w:name="_GoBack"/>
            <w:bookmarkEnd w:id="0"/>
            <w:r>
              <w:rPr>
                <w:sz w:val="20"/>
                <w:szCs w:val="20"/>
              </w:rPr>
              <w:t>DOI: 10.1002/iroh.20111</w:t>
            </w:r>
            <w:r w:rsidRPr="001052D1">
              <w:t>1534</w:t>
            </w:r>
          </w:p>
        </w:tc>
        <w:tc>
          <w:tcPr>
            <w:tcW w:w="1217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>Sonderheft Walz 2/2013</w:t>
            </w:r>
          </w:p>
        </w:tc>
        <w:tc>
          <w:tcPr>
            <w:tcW w:w="1146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 xml:space="preserve"> Fleituch</w:t>
            </w:r>
          </w:p>
        </w:tc>
        <w:tc>
          <w:tcPr>
            <w:tcW w:w="943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>Tadeusz</w:t>
            </w:r>
          </w:p>
        </w:tc>
        <w:tc>
          <w:tcPr>
            <w:tcW w:w="1526" w:type="dxa"/>
            <w:noWrap/>
          </w:tcPr>
          <w:p w:rsidR="00240610" w:rsidRPr="001052D1" w:rsidRDefault="00240610" w:rsidP="001052D1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254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 xml:space="preserve">Preface </w:t>
            </w:r>
          </w:p>
        </w:tc>
      </w:tr>
      <w:tr w:rsidR="00240610" w:rsidRPr="00522654" w:rsidTr="00915D90">
        <w:trPr>
          <w:trHeight w:val="1510"/>
        </w:trPr>
        <w:tc>
          <w:tcPr>
            <w:tcW w:w="2282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>
              <w:rPr>
                <w:sz w:val="20"/>
                <w:szCs w:val="20"/>
              </w:rPr>
              <w:t>DOI: 10.1002/iroh.20111</w:t>
            </w:r>
            <w:r w:rsidRPr="001052D1">
              <w:t>1535</w:t>
            </w:r>
          </w:p>
        </w:tc>
        <w:tc>
          <w:tcPr>
            <w:tcW w:w="1217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>Sonderheft Walz 2/2013</w:t>
            </w:r>
          </w:p>
        </w:tc>
        <w:tc>
          <w:tcPr>
            <w:tcW w:w="1146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>Cieslewicz</w:t>
            </w:r>
          </w:p>
        </w:tc>
        <w:tc>
          <w:tcPr>
            <w:tcW w:w="943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>Joanna</w:t>
            </w:r>
          </w:p>
        </w:tc>
        <w:tc>
          <w:tcPr>
            <w:tcW w:w="1526" w:type="dxa"/>
            <w:noWrap/>
          </w:tcPr>
          <w:p w:rsidR="00240610" w:rsidRPr="001052D1" w:rsidRDefault="00240610" w:rsidP="001052D1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254" w:type="dxa"/>
          </w:tcPr>
          <w:p w:rsidR="00240610" w:rsidRPr="001052D1" w:rsidRDefault="00240610" w:rsidP="001052D1">
            <w:pPr>
              <w:spacing w:after="0" w:line="240" w:lineRule="auto"/>
              <w:rPr>
                <w:lang w:val="en-US"/>
              </w:rPr>
            </w:pPr>
            <w:r w:rsidRPr="001052D1">
              <w:rPr>
                <w:lang w:val="en-US"/>
              </w:rPr>
              <w:br/>
              <w:t xml:space="preserve">Variation in the susceptibility of humic acids from the sediments of water reservoirs to oxidation. </w:t>
            </w:r>
          </w:p>
        </w:tc>
      </w:tr>
      <w:tr w:rsidR="00240610" w:rsidRPr="00522654" w:rsidTr="00915D90">
        <w:trPr>
          <w:trHeight w:val="1020"/>
        </w:trPr>
        <w:tc>
          <w:tcPr>
            <w:tcW w:w="2282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>
              <w:rPr>
                <w:sz w:val="20"/>
                <w:szCs w:val="20"/>
              </w:rPr>
              <w:t>DOI: 10.1002/iroh.20111</w:t>
            </w:r>
            <w:r w:rsidRPr="001052D1">
              <w:t>1536</w:t>
            </w:r>
          </w:p>
        </w:tc>
        <w:tc>
          <w:tcPr>
            <w:tcW w:w="1217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>Sonderheft Walz 2/2013</w:t>
            </w:r>
          </w:p>
        </w:tc>
        <w:tc>
          <w:tcPr>
            <w:tcW w:w="1146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>Fidalgo</w:t>
            </w:r>
          </w:p>
        </w:tc>
        <w:tc>
          <w:tcPr>
            <w:tcW w:w="943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>Maria Leonor</w:t>
            </w:r>
          </w:p>
        </w:tc>
        <w:tc>
          <w:tcPr>
            <w:tcW w:w="1526" w:type="dxa"/>
          </w:tcPr>
          <w:p w:rsidR="00240610" w:rsidRPr="001052D1" w:rsidRDefault="00240610" w:rsidP="001052D1">
            <w:pPr>
              <w:spacing w:after="0" w:line="240" w:lineRule="auto"/>
              <w:rPr>
                <w:lang w:val="en-US"/>
              </w:rPr>
            </w:pPr>
            <w:r w:rsidRPr="001052D1">
              <w:rPr>
                <w:lang w:val="en-US"/>
              </w:rPr>
              <w:t>Maria Leonor Fidalgo, Claudia Ferreira, Ana Sampaio</w:t>
            </w:r>
          </w:p>
        </w:tc>
        <w:tc>
          <w:tcPr>
            <w:tcW w:w="3254" w:type="dxa"/>
          </w:tcPr>
          <w:p w:rsidR="00240610" w:rsidRPr="001052D1" w:rsidRDefault="00240610" w:rsidP="001052D1">
            <w:pPr>
              <w:spacing w:after="0" w:line="240" w:lineRule="auto"/>
              <w:rPr>
                <w:lang w:val="en-US"/>
              </w:rPr>
            </w:pPr>
            <w:r w:rsidRPr="001052D1">
              <w:rPr>
                <w:lang w:val="en-US"/>
              </w:rPr>
              <w:t xml:space="preserve">Assessment of the Preferences of Red Swamp Crayfish (Procambarus clarkii) Fed with Riparian Tree Leaves: a Microcosm Study </w:t>
            </w:r>
          </w:p>
        </w:tc>
      </w:tr>
      <w:tr w:rsidR="00240610" w:rsidRPr="00522654" w:rsidTr="00915D90">
        <w:trPr>
          <w:trHeight w:val="300"/>
        </w:trPr>
        <w:tc>
          <w:tcPr>
            <w:tcW w:w="2282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>
              <w:rPr>
                <w:sz w:val="20"/>
                <w:szCs w:val="20"/>
              </w:rPr>
              <w:t>DOI: 10.1002/iroh.20111</w:t>
            </w:r>
            <w:r w:rsidRPr="001052D1">
              <w:t>1537</w:t>
            </w:r>
          </w:p>
        </w:tc>
        <w:tc>
          <w:tcPr>
            <w:tcW w:w="1217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>Sonderheft Walz 2/2013</w:t>
            </w:r>
          </w:p>
        </w:tc>
        <w:tc>
          <w:tcPr>
            <w:tcW w:w="1146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 xml:space="preserve"> Fleituch</w:t>
            </w:r>
          </w:p>
        </w:tc>
        <w:tc>
          <w:tcPr>
            <w:tcW w:w="943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>Tadeusz</w:t>
            </w:r>
          </w:p>
        </w:tc>
        <w:tc>
          <w:tcPr>
            <w:tcW w:w="1526" w:type="dxa"/>
            <w:noWrap/>
          </w:tcPr>
          <w:p w:rsidR="00240610" w:rsidRPr="001052D1" w:rsidRDefault="00240610" w:rsidP="001052D1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254" w:type="dxa"/>
            <w:noWrap/>
          </w:tcPr>
          <w:p w:rsidR="00240610" w:rsidRPr="00915D90" w:rsidRDefault="00240610" w:rsidP="00915D90">
            <w:pPr>
              <w:rPr>
                <w:rFonts w:cs="Arial"/>
                <w:lang w:val="en-US"/>
              </w:rPr>
            </w:pPr>
            <w:r w:rsidRPr="00915D90">
              <w:rPr>
                <w:rFonts w:cs="Arial"/>
                <w:lang w:val="en-US"/>
              </w:rPr>
              <w:t xml:space="preserve">Effects of nutrient enrichment on invertebrate shredder communities in mountain streams </w:t>
            </w:r>
          </w:p>
        </w:tc>
      </w:tr>
      <w:tr w:rsidR="00240610" w:rsidRPr="00522654" w:rsidTr="00915D90">
        <w:trPr>
          <w:trHeight w:val="600"/>
        </w:trPr>
        <w:tc>
          <w:tcPr>
            <w:tcW w:w="2282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>
              <w:rPr>
                <w:sz w:val="20"/>
                <w:szCs w:val="20"/>
              </w:rPr>
              <w:t>DOI: 10.1002/iroh.20111</w:t>
            </w:r>
            <w:r w:rsidRPr="001052D1">
              <w:t>1538</w:t>
            </w:r>
          </w:p>
        </w:tc>
        <w:tc>
          <w:tcPr>
            <w:tcW w:w="1217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>Sonderheft Walz 2/2013</w:t>
            </w:r>
          </w:p>
        </w:tc>
        <w:tc>
          <w:tcPr>
            <w:tcW w:w="1146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>Gala</w:t>
            </w:r>
          </w:p>
        </w:tc>
        <w:tc>
          <w:tcPr>
            <w:tcW w:w="943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>Joanna</w:t>
            </w:r>
          </w:p>
        </w:tc>
        <w:tc>
          <w:tcPr>
            <w:tcW w:w="1526" w:type="dxa"/>
            <w:noWrap/>
          </w:tcPr>
          <w:p w:rsidR="00240610" w:rsidRPr="001052D1" w:rsidRDefault="00240610" w:rsidP="001052D1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254" w:type="dxa"/>
          </w:tcPr>
          <w:p w:rsidR="00240610" w:rsidRPr="001052D1" w:rsidRDefault="00240610" w:rsidP="001052D1">
            <w:pPr>
              <w:spacing w:after="0" w:line="240" w:lineRule="auto"/>
              <w:rPr>
                <w:lang w:val="en-US"/>
              </w:rPr>
            </w:pPr>
            <w:r w:rsidRPr="001052D1">
              <w:rPr>
                <w:lang w:val="en-US"/>
              </w:rPr>
              <w:t>Detritus in small streams of the Tatra Mountains - the role of abiotic factors</w:t>
            </w:r>
          </w:p>
        </w:tc>
      </w:tr>
      <w:tr w:rsidR="00240610" w:rsidRPr="00522654" w:rsidTr="00915D90">
        <w:trPr>
          <w:trHeight w:val="1500"/>
        </w:trPr>
        <w:tc>
          <w:tcPr>
            <w:tcW w:w="2282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>
              <w:rPr>
                <w:sz w:val="20"/>
                <w:szCs w:val="20"/>
              </w:rPr>
              <w:t>DOI: 10.1002/iroh.20111</w:t>
            </w:r>
            <w:r w:rsidRPr="001052D1">
              <w:t>1539</w:t>
            </w:r>
          </w:p>
        </w:tc>
        <w:tc>
          <w:tcPr>
            <w:tcW w:w="1217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>Sonderheft Walz 2/2013</w:t>
            </w:r>
          </w:p>
        </w:tc>
        <w:tc>
          <w:tcPr>
            <w:tcW w:w="1146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>Mancinelli</w:t>
            </w:r>
          </w:p>
        </w:tc>
        <w:tc>
          <w:tcPr>
            <w:tcW w:w="943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>Giorgio</w:t>
            </w:r>
          </w:p>
        </w:tc>
        <w:tc>
          <w:tcPr>
            <w:tcW w:w="1526" w:type="dxa"/>
          </w:tcPr>
          <w:p w:rsidR="00240610" w:rsidRPr="001052D1" w:rsidRDefault="00240610" w:rsidP="001052D1">
            <w:pPr>
              <w:spacing w:after="0" w:line="240" w:lineRule="auto"/>
              <w:rPr>
                <w:lang w:val="en-US"/>
              </w:rPr>
            </w:pPr>
            <w:r w:rsidRPr="001052D1">
              <w:rPr>
                <w:lang w:val="en-US"/>
              </w:rPr>
              <w:t xml:space="preserve">Giorgio Mancinelli, </w:t>
            </w:r>
            <w:smartTag w:uri="urn:schemas-microsoft-com:office:smarttags" w:element="place">
              <w:r w:rsidRPr="001052D1">
                <w:rPr>
                  <w:lang w:val="en-US"/>
                </w:rPr>
                <w:t>Franca</w:t>
              </w:r>
            </w:smartTag>
            <w:r w:rsidRPr="001052D1">
              <w:rPr>
                <w:lang w:val="en-US"/>
              </w:rPr>
              <w:t xml:space="preserve"> Sangiorgio and Alessandro Scalzo</w:t>
            </w:r>
          </w:p>
        </w:tc>
        <w:tc>
          <w:tcPr>
            <w:tcW w:w="3254" w:type="dxa"/>
          </w:tcPr>
          <w:p w:rsidR="00240610" w:rsidRPr="001052D1" w:rsidRDefault="00240610" w:rsidP="001052D1">
            <w:pPr>
              <w:spacing w:after="0" w:line="240" w:lineRule="auto"/>
              <w:rPr>
                <w:lang w:val="en-US"/>
              </w:rPr>
            </w:pPr>
            <w:r w:rsidRPr="001052D1">
              <w:rPr>
                <w:lang w:val="en-US"/>
              </w:rPr>
              <w:t>The Effects of Decapod Crustacean Macroconsumers on Leaf Detritus Processing and Colonization by Invertebrates in Stream Habitats: a Meta-Analysis.</w:t>
            </w:r>
          </w:p>
        </w:tc>
      </w:tr>
      <w:tr w:rsidR="00240610" w:rsidRPr="00522654" w:rsidTr="00915D90">
        <w:trPr>
          <w:trHeight w:val="1500"/>
        </w:trPr>
        <w:tc>
          <w:tcPr>
            <w:tcW w:w="2282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>
              <w:rPr>
                <w:sz w:val="20"/>
                <w:szCs w:val="20"/>
              </w:rPr>
              <w:t>DOI: 10.1002/iroh.20111</w:t>
            </w:r>
            <w:r w:rsidRPr="001052D1">
              <w:t>1540</w:t>
            </w:r>
          </w:p>
        </w:tc>
        <w:tc>
          <w:tcPr>
            <w:tcW w:w="1217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>Sonderheft Walz 2/2013</w:t>
            </w:r>
          </w:p>
        </w:tc>
        <w:tc>
          <w:tcPr>
            <w:tcW w:w="1146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>Vass</w:t>
            </w:r>
          </w:p>
        </w:tc>
        <w:tc>
          <w:tcPr>
            <w:tcW w:w="943" w:type="dxa"/>
            <w:noWrap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>Máté</w:t>
            </w:r>
          </w:p>
        </w:tc>
        <w:tc>
          <w:tcPr>
            <w:tcW w:w="1526" w:type="dxa"/>
          </w:tcPr>
          <w:p w:rsidR="00240610" w:rsidRPr="001052D1" w:rsidRDefault="00240610" w:rsidP="001052D1">
            <w:pPr>
              <w:spacing w:after="0" w:line="240" w:lineRule="auto"/>
            </w:pPr>
            <w:r w:rsidRPr="001052D1">
              <w:t>Máté Vass, Ágnes Révay, Tamás Kucserka, Katalin Hubai, Viktória Üveges, Kata Kovács and Judit Padisák</w:t>
            </w:r>
          </w:p>
        </w:tc>
        <w:tc>
          <w:tcPr>
            <w:tcW w:w="3254" w:type="dxa"/>
          </w:tcPr>
          <w:p w:rsidR="00240610" w:rsidRPr="001052D1" w:rsidRDefault="00240610" w:rsidP="001052D1">
            <w:pPr>
              <w:spacing w:after="0" w:line="240" w:lineRule="auto"/>
              <w:rPr>
                <w:lang w:val="en-US"/>
              </w:rPr>
            </w:pPr>
            <w:r w:rsidRPr="001052D1">
              <w:rPr>
                <w:lang w:val="en-US"/>
              </w:rPr>
              <w:t xml:space="preserve">Aquatic hyphomycetes as survivors and/or first colonizers after a red sludge disaster in the Torna stream, </w:t>
            </w:r>
            <w:smartTag w:uri="urn:schemas-microsoft-com:office:smarttags" w:element="place">
              <w:r w:rsidRPr="001052D1">
                <w:rPr>
                  <w:lang w:val="en-US"/>
                </w:rPr>
                <w:t>Hungary</w:t>
              </w:r>
            </w:smartTag>
            <w:r w:rsidRPr="001052D1">
              <w:rPr>
                <w:lang w:val="en-US"/>
              </w:rPr>
              <w:t xml:space="preserve"> </w:t>
            </w:r>
          </w:p>
        </w:tc>
      </w:tr>
    </w:tbl>
    <w:p w:rsidR="00240610" w:rsidRPr="002B66EF" w:rsidRDefault="00240610">
      <w:pPr>
        <w:rPr>
          <w:lang w:val="en-US"/>
        </w:rPr>
      </w:pPr>
    </w:p>
    <w:sectPr w:rsidR="00240610" w:rsidRPr="002B66EF" w:rsidSect="0085389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66EF"/>
    <w:rsid w:val="001052D1"/>
    <w:rsid w:val="00144709"/>
    <w:rsid w:val="001757D1"/>
    <w:rsid w:val="001D3D1A"/>
    <w:rsid w:val="00240610"/>
    <w:rsid w:val="002B66EF"/>
    <w:rsid w:val="004E5AFD"/>
    <w:rsid w:val="004F77AB"/>
    <w:rsid w:val="00522654"/>
    <w:rsid w:val="00853897"/>
    <w:rsid w:val="00915D90"/>
    <w:rsid w:val="00C17F0A"/>
    <w:rsid w:val="00CD3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897"/>
    <w:pPr>
      <w:spacing w:after="200" w:line="276" w:lineRule="auto"/>
    </w:pPr>
    <w:rPr>
      <w:lang w:val="de-DE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B66E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1D3D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val="de-DE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69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195</Words>
  <Characters>1171</Characters>
  <Application>Microsoft Office Outlook</Application>
  <DocSecurity>0</DocSecurity>
  <Lines>0</Lines>
  <Paragraphs>0</Paragraphs>
  <ScaleCrop>false</ScaleCrop>
  <Company>UFZ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DOI: 10</dc:title>
  <dc:subject/>
  <dc:creator>Désirée Dietrich</dc:creator>
  <cp:keywords/>
  <dc:description/>
  <cp:lastModifiedBy>Tadeusz Fleituch</cp:lastModifiedBy>
  <cp:revision>3</cp:revision>
  <cp:lastPrinted>2012-11-22T10:42:00Z</cp:lastPrinted>
  <dcterms:created xsi:type="dcterms:W3CDTF">2012-11-22T10:54:00Z</dcterms:created>
  <dcterms:modified xsi:type="dcterms:W3CDTF">2012-11-22T11:08:00Z</dcterms:modified>
</cp:coreProperties>
</file>