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drawings/drawing1.xml" ContentType="application/vnd.openxmlformats-officedocument.drawingml.chartshapes+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6BF5" w:rsidRDefault="00066BF5" w:rsidP="00066BF5">
      <w:pPr>
        <w:pStyle w:val="Cmsor1"/>
        <w:spacing w:line="360" w:lineRule="auto"/>
        <w:jc w:val="center"/>
        <w:rPr>
          <w:rFonts w:ascii="Times New Roman" w:hAnsi="Times New Roman" w:cs="Times New Roman"/>
          <w:sz w:val="36"/>
        </w:rPr>
      </w:pPr>
      <w:bookmarkStart w:id="0" w:name="_Toc340927907"/>
      <w:r w:rsidRPr="00066BF5">
        <w:rPr>
          <w:rFonts w:ascii="Times New Roman" w:hAnsi="Times New Roman" w:cs="Times New Roman"/>
          <w:sz w:val="36"/>
        </w:rPr>
        <w:t>Rónai Orsolya: Az energiaadók az Európai Unióban</w:t>
      </w:r>
    </w:p>
    <w:p w:rsidR="00066BF5" w:rsidRDefault="00066BF5" w:rsidP="00066BF5"/>
    <w:p w:rsidR="00066BF5" w:rsidRPr="00066BF5" w:rsidRDefault="00066BF5" w:rsidP="00066BF5"/>
    <w:p w:rsidR="0011247F" w:rsidRPr="00873D0E" w:rsidRDefault="0011247F" w:rsidP="0069191A">
      <w:pPr>
        <w:pStyle w:val="Cmsor1"/>
        <w:spacing w:line="360" w:lineRule="auto"/>
        <w:rPr>
          <w:rStyle w:val="Lbjegyzet-hivatkozs"/>
        </w:rPr>
      </w:pPr>
      <w:r w:rsidRPr="00413518">
        <w:rPr>
          <w:rFonts w:ascii="Times New Roman" w:hAnsi="Times New Roman" w:cs="Times New Roman"/>
        </w:rPr>
        <w:t>BEVEZETÉS</w:t>
      </w:r>
      <w:bookmarkEnd w:id="0"/>
      <w:r w:rsidR="00873D0E" w:rsidRPr="00873D0E">
        <w:rPr>
          <w:rStyle w:val="Lbjegyzet-hivatkozs"/>
        </w:rPr>
        <w:footnoteReference w:customMarkFollows="1" w:id="1"/>
        <w:sym w:font="Symbol" w:char="F02A"/>
      </w:r>
    </w:p>
    <w:p w:rsidR="00B5132C" w:rsidRDefault="005A1284" w:rsidP="00A4095A">
      <w:pPr>
        <w:spacing w:line="360" w:lineRule="auto"/>
        <w:jc w:val="both"/>
        <w:rPr>
          <w:rFonts w:ascii="Times New Roman" w:hAnsi="Times New Roman" w:cs="Times New Roman"/>
          <w:sz w:val="24"/>
          <w:szCs w:val="24"/>
        </w:rPr>
      </w:pPr>
      <w:r w:rsidRPr="00413518">
        <w:rPr>
          <w:rFonts w:ascii="Times New Roman" w:hAnsi="Times New Roman" w:cs="Times New Roman"/>
          <w:sz w:val="24"/>
          <w:szCs w:val="24"/>
        </w:rPr>
        <w:tab/>
      </w:r>
      <w:r w:rsidR="00A4095A" w:rsidRPr="00A4095A">
        <w:rPr>
          <w:rFonts w:ascii="Times New Roman" w:hAnsi="Times New Roman" w:cs="Times New Roman"/>
          <w:sz w:val="24"/>
          <w:szCs w:val="24"/>
        </w:rPr>
        <w:t>Az Európai Unióban a környezetvédelmi szakpolitika kiemelt szerepet élvez. Az energiaadók az energiapolitika gazdasági eszközei. Alkalmazásuk</w:t>
      </w:r>
      <w:r w:rsidRPr="00A4095A">
        <w:rPr>
          <w:rFonts w:ascii="Times New Roman" w:hAnsi="Times New Roman" w:cs="Times New Roman"/>
          <w:sz w:val="24"/>
          <w:szCs w:val="24"/>
        </w:rPr>
        <w:t xml:space="preserve"> hátterében az a számos közgazdász által követett indok áll, amely szerint, hogy</w:t>
      </w:r>
      <w:r w:rsidR="00F04C3A" w:rsidRPr="00A4095A">
        <w:rPr>
          <w:rFonts w:ascii="Times New Roman" w:hAnsi="Times New Roman" w:cs="Times New Roman"/>
          <w:sz w:val="24"/>
          <w:szCs w:val="24"/>
        </w:rPr>
        <w:t>an</w:t>
      </w:r>
      <w:r w:rsidRPr="00A4095A">
        <w:rPr>
          <w:rFonts w:ascii="Times New Roman" w:hAnsi="Times New Roman" w:cs="Times New Roman"/>
          <w:sz w:val="24"/>
          <w:szCs w:val="24"/>
        </w:rPr>
        <w:t xml:space="preserve"> tudjuk a negatív externáliákat internalizálni. Közérthetőbben fogalmazva</w:t>
      </w:r>
      <w:r w:rsidRPr="00A4095A">
        <w:rPr>
          <w:rStyle w:val="Lbjegyzet-hivatkozs"/>
          <w:sz w:val="24"/>
          <w:szCs w:val="24"/>
        </w:rPr>
        <w:footnoteReference w:id="2"/>
      </w:r>
      <w:r w:rsidRPr="00A4095A">
        <w:rPr>
          <w:rFonts w:ascii="Times New Roman" w:hAnsi="Times New Roman" w:cs="Times New Roman"/>
          <w:sz w:val="24"/>
          <w:szCs w:val="24"/>
        </w:rPr>
        <w:t>: a piaci kereteken kívül keltett makroökonómiai hatásokat (zömében környezeti károkat)</w:t>
      </w:r>
      <w:r w:rsidR="00497589" w:rsidRPr="00A4095A">
        <w:rPr>
          <w:rFonts w:ascii="Times New Roman" w:hAnsi="Times New Roman" w:cs="Times New Roman"/>
          <w:sz w:val="24"/>
          <w:szCs w:val="24"/>
        </w:rPr>
        <w:t xml:space="preserve"> </w:t>
      </w:r>
      <w:r w:rsidRPr="00A4095A">
        <w:rPr>
          <w:rFonts w:ascii="Times New Roman" w:hAnsi="Times New Roman" w:cs="Times New Roman"/>
          <w:sz w:val="24"/>
          <w:szCs w:val="24"/>
        </w:rPr>
        <w:t xml:space="preserve">vállalati költséggé kívánják úgy alakítani, hogy eleget tegyenek a környezetvédelmi politika egyik legfontosabb alapelvének, a </w:t>
      </w:r>
      <w:r w:rsidRPr="00A4095A">
        <w:rPr>
          <w:rFonts w:ascii="Times New Roman" w:hAnsi="Times New Roman" w:cs="Times New Roman"/>
          <w:i/>
          <w:sz w:val="24"/>
          <w:szCs w:val="24"/>
        </w:rPr>
        <w:t xml:space="preserve">szennyező fizet elvnek. </w:t>
      </w:r>
      <w:r w:rsidRPr="00A4095A">
        <w:rPr>
          <w:rFonts w:ascii="Times New Roman" w:hAnsi="Times New Roman" w:cs="Times New Roman"/>
          <w:sz w:val="24"/>
          <w:szCs w:val="24"/>
        </w:rPr>
        <w:t>Így közvetett módon</w:t>
      </w:r>
      <w:r w:rsidRPr="00A4095A">
        <w:rPr>
          <w:rStyle w:val="Lbjegyzet-hivatkozs"/>
          <w:sz w:val="24"/>
          <w:szCs w:val="24"/>
        </w:rPr>
        <w:footnoteReference w:id="3"/>
      </w:r>
      <w:r w:rsidRPr="00A4095A">
        <w:rPr>
          <w:rFonts w:ascii="Times New Roman" w:hAnsi="Times New Roman" w:cs="Times New Roman"/>
          <w:sz w:val="24"/>
          <w:szCs w:val="24"/>
        </w:rPr>
        <w:t xml:space="preserve"> a </w:t>
      </w:r>
      <w:r w:rsidR="00C04BB2">
        <w:rPr>
          <w:rFonts w:ascii="Times New Roman" w:hAnsi="Times New Roman" w:cs="Times New Roman"/>
          <w:sz w:val="24"/>
          <w:szCs w:val="24"/>
        </w:rPr>
        <w:t xml:space="preserve">vállalatok alaptevékenységét </w:t>
      </w:r>
      <w:r w:rsidRPr="00A4095A">
        <w:rPr>
          <w:rFonts w:ascii="Times New Roman" w:hAnsi="Times New Roman" w:cs="Times New Roman"/>
          <w:sz w:val="24"/>
          <w:szCs w:val="24"/>
        </w:rPr>
        <w:t xml:space="preserve">próbálják </w:t>
      </w:r>
      <w:r w:rsidR="00C04BB2">
        <w:rPr>
          <w:rFonts w:ascii="Times New Roman" w:hAnsi="Times New Roman" w:cs="Times New Roman"/>
          <w:sz w:val="24"/>
          <w:szCs w:val="24"/>
        </w:rPr>
        <w:t xml:space="preserve">meg </w:t>
      </w:r>
      <w:r w:rsidRPr="00A4095A">
        <w:rPr>
          <w:rFonts w:ascii="Times New Roman" w:hAnsi="Times New Roman" w:cs="Times New Roman"/>
          <w:sz w:val="24"/>
          <w:szCs w:val="24"/>
        </w:rPr>
        <w:t>zöldebbé tenni, és megakadályozni a környezetkárosításokat azzal, hogy az esetleges szennyező tevékenységük esetére fizetési kötelezettséget írnak elő</w:t>
      </w:r>
      <w:r w:rsidR="00C04BB2">
        <w:rPr>
          <w:rFonts w:ascii="Times New Roman" w:hAnsi="Times New Roman" w:cs="Times New Roman"/>
          <w:sz w:val="24"/>
          <w:szCs w:val="24"/>
        </w:rPr>
        <w:t xml:space="preserve">, </w:t>
      </w:r>
      <w:r w:rsidR="00682295" w:rsidRPr="00A4095A">
        <w:rPr>
          <w:rFonts w:ascii="Times New Roman" w:hAnsi="Times New Roman" w:cs="Times New Roman"/>
          <w:sz w:val="24"/>
          <w:szCs w:val="24"/>
        </w:rPr>
        <w:t>ezáltal a környezetszennyezést a vállalatok számára köl</w:t>
      </w:r>
      <w:r w:rsidR="00460FDE">
        <w:rPr>
          <w:rFonts w:ascii="Times New Roman" w:hAnsi="Times New Roman" w:cs="Times New Roman"/>
          <w:sz w:val="24"/>
          <w:szCs w:val="24"/>
        </w:rPr>
        <w:t>tségessé teszik.</w:t>
      </w:r>
      <w:r w:rsidR="00A4095A" w:rsidRPr="00A4095A">
        <w:rPr>
          <w:rFonts w:ascii="Times New Roman" w:hAnsi="Times New Roman" w:cs="Times New Roman"/>
          <w:sz w:val="24"/>
          <w:szCs w:val="24"/>
        </w:rPr>
        <w:tab/>
      </w:r>
      <w:r w:rsidR="00A4095A" w:rsidRPr="00A4095A">
        <w:rPr>
          <w:rFonts w:ascii="Times New Roman" w:hAnsi="Times New Roman" w:cs="Times New Roman"/>
          <w:sz w:val="24"/>
          <w:szCs w:val="24"/>
        </w:rPr>
        <w:br/>
      </w:r>
      <w:r w:rsidR="00A4095A" w:rsidRPr="00A4095A">
        <w:rPr>
          <w:rFonts w:ascii="Times New Roman" w:hAnsi="Times New Roman" w:cs="Times New Roman"/>
          <w:sz w:val="24"/>
          <w:szCs w:val="24"/>
        </w:rPr>
        <w:tab/>
        <w:t>A környezetvédelmi politika keretein belül drasztikusan megnőtt a gazdasági eszközök használata az utóbbi egy évtizedben.</w:t>
      </w:r>
      <w:r w:rsidR="005F799D">
        <w:rPr>
          <w:rStyle w:val="Lbjegyzet-hivatkozs"/>
          <w:sz w:val="24"/>
          <w:szCs w:val="24"/>
        </w:rPr>
        <w:footnoteReference w:id="4"/>
      </w:r>
      <w:r w:rsidR="00A4095A" w:rsidRPr="00A4095A">
        <w:rPr>
          <w:rFonts w:ascii="Times New Roman" w:hAnsi="Times New Roman" w:cs="Times New Roman"/>
          <w:sz w:val="24"/>
          <w:szCs w:val="24"/>
        </w:rPr>
        <w:t>Az 1990-es évektől kezdve jelentősen elterjedt tendenciát kezdtek jelenti Európában. A skandináv országok voltak az elsők, ahol először megjelent a politika. Pár éven belül azonban a többi európai ország is átvette ezeknek az eszközöknek az alkalmazását.</w:t>
      </w:r>
      <w:r w:rsidR="00C04BB2">
        <w:rPr>
          <w:rFonts w:ascii="Times New Roman" w:hAnsi="Times New Roman" w:cs="Times New Roman"/>
          <w:sz w:val="24"/>
          <w:szCs w:val="24"/>
        </w:rPr>
        <w:tab/>
      </w:r>
      <w:r w:rsidR="00C04BB2">
        <w:rPr>
          <w:rFonts w:ascii="Times New Roman" w:hAnsi="Times New Roman" w:cs="Times New Roman"/>
          <w:sz w:val="24"/>
          <w:szCs w:val="24"/>
        </w:rPr>
        <w:br/>
      </w:r>
      <w:r w:rsidR="00C04BB2">
        <w:rPr>
          <w:rFonts w:ascii="Times New Roman" w:hAnsi="Times New Roman" w:cs="Times New Roman"/>
          <w:sz w:val="24"/>
          <w:szCs w:val="24"/>
        </w:rPr>
        <w:tab/>
      </w:r>
      <w:r w:rsidR="002F17D5">
        <w:rPr>
          <w:rFonts w:ascii="Times New Roman" w:hAnsi="Times New Roman" w:cs="Times New Roman"/>
          <w:sz w:val="24"/>
          <w:szCs w:val="24"/>
        </w:rPr>
        <w:t>A világon a környezetvédelem fontos szerepet tölt be, hiszen a különféle károkat sajnos már nem tudjuk teljesen helyreállítani, ezért nagyon fontos, hogy egy közös cél érdekében a Föld összes lakója összefogjon. A káros következmények bekövetkezését egyes esetekben lassítani, más esetekben megakadályozni tudjuk. 2012-ben tartották a Rió+20 nemzetközi környezetvédelmi konferenciát, így a téma aktuális. A jognak, így az adójognak is a környezetvédelmét kell szolgálnia egyaránt nemzeti és szupranacionális szinten.</w:t>
      </w:r>
      <w:r w:rsidR="00890D9A">
        <w:rPr>
          <w:rFonts w:ascii="Times New Roman" w:hAnsi="Times New Roman" w:cs="Times New Roman"/>
          <w:sz w:val="24"/>
          <w:szCs w:val="24"/>
        </w:rPr>
        <w:br/>
      </w:r>
      <w:r w:rsidR="00890D9A">
        <w:rPr>
          <w:rFonts w:ascii="Times New Roman" w:hAnsi="Times New Roman" w:cs="Times New Roman"/>
          <w:sz w:val="24"/>
          <w:szCs w:val="24"/>
        </w:rPr>
        <w:lastRenderedPageBreak/>
        <w:tab/>
      </w:r>
      <w:r w:rsidR="00C04BB2">
        <w:rPr>
          <w:rFonts w:ascii="Times New Roman" w:hAnsi="Times New Roman" w:cs="Times New Roman"/>
          <w:sz w:val="24"/>
          <w:szCs w:val="24"/>
        </w:rPr>
        <w:t xml:space="preserve">A dolgozatomban </w:t>
      </w:r>
      <w:r w:rsidR="002F17D5">
        <w:rPr>
          <w:rFonts w:ascii="Times New Roman" w:hAnsi="Times New Roman" w:cs="Times New Roman"/>
          <w:sz w:val="24"/>
          <w:szCs w:val="24"/>
        </w:rPr>
        <w:t>először ezeket a</w:t>
      </w:r>
      <w:r w:rsidR="007A7E5C">
        <w:rPr>
          <w:rFonts w:ascii="Times New Roman" w:hAnsi="Times New Roman" w:cs="Times New Roman"/>
          <w:sz w:val="24"/>
          <w:szCs w:val="24"/>
        </w:rPr>
        <w:t xml:space="preserve"> gazdasági eszköz</w:t>
      </w:r>
      <w:r w:rsidR="002F17D5">
        <w:rPr>
          <w:rFonts w:ascii="Times New Roman" w:hAnsi="Times New Roman" w:cs="Times New Roman"/>
          <w:sz w:val="24"/>
          <w:szCs w:val="24"/>
        </w:rPr>
        <w:t xml:space="preserve">öket </w:t>
      </w:r>
      <w:r w:rsidR="00C04BB2">
        <w:rPr>
          <w:rFonts w:ascii="Times New Roman" w:hAnsi="Times New Roman" w:cs="Times New Roman"/>
          <w:sz w:val="24"/>
          <w:szCs w:val="24"/>
        </w:rPr>
        <w:t>mutatom be</w:t>
      </w:r>
      <w:r w:rsidR="007A7E5C">
        <w:rPr>
          <w:rFonts w:ascii="Times New Roman" w:hAnsi="Times New Roman" w:cs="Times New Roman"/>
          <w:sz w:val="24"/>
          <w:szCs w:val="24"/>
        </w:rPr>
        <w:t xml:space="preserve">, röviden </w:t>
      </w:r>
      <w:r w:rsidR="00C04BB2">
        <w:rPr>
          <w:rFonts w:ascii="Times New Roman" w:hAnsi="Times New Roman" w:cs="Times New Roman"/>
          <w:sz w:val="24"/>
          <w:szCs w:val="24"/>
        </w:rPr>
        <w:t>részletezem</w:t>
      </w:r>
      <w:r w:rsidR="007A7E5C">
        <w:rPr>
          <w:rFonts w:ascii="Times New Roman" w:hAnsi="Times New Roman" w:cs="Times New Roman"/>
          <w:sz w:val="24"/>
          <w:szCs w:val="24"/>
        </w:rPr>
        <w:t xml:space="preserve"> a környezetvédelmi szabályozást. A második fejezetben fontosnak tartottam a jelenleg hatályos energiaadó-rendszer kialakulásának történetét ismertetni, hiszen az Európai Unióban mindig is napirendi ponton volt a kérdéskör, de – ahogy lentebb részletezem is – a megállapodásra évtizedeket kellett várni. A következő fejezetben az Unió szintjén harmonizált adónem tagállami szinten létező típusait, megoldásait fejtem ki, hiszen itt is megfigyelhető az integráció egyik jelenleg létező legnagyobb problémája, a </w:t>
      </w:r>
      <w:r w:rsidR="007A7E5C" w:rsidRPr="00C51CD8">
        <w:rPr>
          <w:rFonts w:ascii="Times New Roman" w:hAnsi="Times New Roman" w:cs="Times New Roman"/>
          <w:i/>
          <w:sz w:val="24"/>
          <w:szCs w:val="24"/>
        </w:rPr>
        <w:t>kétsebességes fejlődés</w:t>
      </w:r>
      <w:r w:rsidR="007A7E5C">
        <w:rPr>
          <w:rFonts w:ascii="Times New Roman" w:hAnsi="Times New Roman" w:cs="Times New Roman"/>
          <w:sz w:val="24"/>
          <w:szCs w:val="24"/>
        </w:rPr>
        <w:t xml:space="preserve">. </w:t>
      </w:r>
      <w:r w:rsidR="00EE1051">
        <w:rPr>
          <w:rFonts w:ascii="Times New Roman" w:hAnsi="Times New Roman" w:cs="Times New Roman"/>
          <w:sz w:val="24"/>
          <w:szCs w:val="24"/>
        </w:rPr>
        <w:t>Dolgozatomból kimaradhatatlan a svéd rendszer ismertetése. A svéd energiaadózás rendelkezik az egyik legrégebbi történettel, egészen az 1920-as évekig kell visszanyúlnun</w:t>
      </w:r>
      <w:r w:rsidR="00890D9A">
        <w:rPr>
          <w:rFonts w:ascii="Times New Roman" w:hAnsi="Times New Roman" w:cs="Times New Roman"/>
          <w:sz w:val="24"/>
          <w:szCs w:val="24"/>
        </w:rPr>
        <w:t xml:space="preserve">k az ismertetése kapcsán, ezért </w:t>
      </w:r>
      <w:r w:rsidR="00EE1051">
        <w:rPr>
          <w:rFonts w:ascii="Times New Roman" w:hAnsi="Times New Roman" w:cs="Times New Roman"/>
          <w:sz w:val="24"/>
          <w:szCs w:val="24"/>
        </w:rPr>
        <w:t xml:space="preserve">említem </w:t>
      </w:r>
      <w:r w:rsidR="00890D9A">
        <w:rPr>
          <w:rFonts w:ascii="Times New Roman" w:hAnsi="Times New Roman" w:cs="Times New Roman"/>
          <w:sz w:val="24"/>
          <w:szCs w:val="24"/>
        </w:rPr>
        <w:t xml:space="preserve">először </w:t>
      </w:r>
      <w:r w:rsidR="00EE1051">
        <w:rPr>
          <w:rFonts w:ascii="Times New Roman" w:hAnsi="Times New Roman" w:cs="Times New Roman"/>
          <w:sz w:val="24"/>
          <w:szCs w:val="24"/>
        </w:rPr>
        <w:t>a III. fejezetben. Ezt indokolja továbbá az is, hogy Európában az első helyen szerepelnek a környezetvédelem piaci alapú eszköztárát tekintve, közel 70-féle instrumentumot alkalmaznak a környezetvédelmi szabályozásban</w:t>
      </w:r>
      <w:r w:rsidR="00E23DAE">
        <w:rPr>
          <w:rFonts w:ascii="Times New Roman" w:hAnsi="Times New Roman" w:cs="Times New Roman"/>
          <w:sz w:val="24"/>
          <w:szCs w:val="24"/>
        </w:rPr>
        <w:t>, amely minden tagállam s</w:t>
      </w:r>
      <w:r w:rsidR="00890D9A">
        <w:rPr>
          <w:rFonts w:ascii="Times New Roman" w:hAnsi="Times New Roman" w:cs="Times New Roman"/>
          <w:sz w:val="24"/>
          <w:szCs w:val="24"/>
        </w:rPr>
        <w:t xml:space="preserve">zámára követendő példát jelent. </w:t>
      </w:r>
      <w:r w:rsidR="00E23DAE">
        <w:rPr>
          <w:rFonts w:ascii="Times New Roman" w:hAnsi="Times New Roman" w:cs="Times New Roman"/>
          <w:sz w:val="24"/>
          <w:szCs w:val="24"/>
        </w:rPr>
        <w:t>A sorban őket a német energiaadózás követi. Fontosnak tartottam bemutatni a német energiaadó-rendszert, hiszen ők valósították meg Európában a leglátványosabban az ETR reformot, több olyan megoldást is alkalmazva, amelyet korábban a svédek már használtak. A németek közel 20 év alatt az energiaadózás élmezőnyébe kvalifikálták magukat, a bevételeik növekedtek, a fogyasztók energiatudatosabbak lettek.</w:t>
      </w:r>
      <w:r w:rsidR="00EE1051">
        <w:rPr>
          <w:rFonts w:ascii="Times New Roman" w:hAnsi="Times New Roman" w:cs="Times New Roman"/>
          <w:sz w:val="24"/>
          <w:szCs w:val="24"/>
        </w:rPr>
        <w:t xml:space="preserve"> </w:t>
      </w:r>
      <w:r w:rsidR="00E23DAE">
        <w:rPr>
          <w:rFonts w:ascii="Times New Roman" w:hAnsi="Times New Roman" w:cs="Times New Roman"/>
          <w:sz w:val="24"/>
          <w:szCs w:val="24"/>
        </w:rPr>
        <w:t>A következő ország az Egyesült Királyság volt, amit megvizsgáltam. Az angol rendszer felépítése egyszerűbb, mint a német és svéd rendszereké, de mégis egyedülálló megoldásokat tartalmaz. Az adózás fókuszában az áll, hogy a fogyasztókat ne terheljék adófizetési kötelezettséggel, így az adóterheket az üzleti felhasználású szektorokra hárítják. Ezen gazdasági szereplőknek lehetőségük van adókedvezmények igénybevételére, amelyeket önkéntes megállapodások kötésével és a bennünk foglalt kötelezettségek betartásával nyerhetnek el. Az állami energiaadó bevételek nagyobb százalékát az üzemanyagok és a villamos-energia adója teszi</w:t>
      </w:r>
      <w:r w:rsidR="00A16516">
        <w:rPr>
          <w:rFonts w:ascii="Times New Roman" w:hAnsi="Times New Roman" w:cs="Times New Roman"/>
          <w:sz w:val="24"/>
          <w:szCs w:val="24"/>
        </w:rPr>
        <w:t>k</w:t>
      </w:r>
      <w:r w:rsidR="00E23DAE">
        <w:rPr>
          <w:rFonts w:ascii="Times New Roman" w:hAnsi="Times New Roman" w:cs="Times New Roman"/>
          <w:sz w:val="24"/>
          <w:szCs w:val="24"/>
        </w:rPr>
        <w:t xml:space="preserve"> ki. Végül hazánk energiaadózását mutatom be. </w:t>
      </w:r>
      <w:r w:rsidR="00A16516">
        <w:rPr>
          <w:rFonts w:ascii="Times New Roman" w:hAnsi="Times New Roman" w:cs="Times New Roman"/>
          <w:sz w:val="24"/>
          <w:szCs w:val="24"/>
        </w:rPr>
        <w:t>Magyarország</w:t>
      </w:r>
      <w:r w:rsidR="00E23DAE">
        <w:rPr>
          <w:rFonts w:ascii="Times New Roman" w:hAnsi="Times New Roman" w:cs="Times New Roman"/>
          <w:sz w:val="24"/>
          <w:szCs w:val="24"/>
        </w:rPr>
        <w:t xml:space="preserve"> az EU-hoz való csatlakozáskor dolgozta ki az energiaadó rendszerét, amely a fentebb említett</w:t>
      </w:r>
      <w:r w:rsidR="00A16516">
        <w:rPr>
          <w:rFonts w:ascii="Times New Roman" w:hAnsi="Times New Roman" w:cs="Times New Roman"/>
          <w:sz w:val="24"/>
          <w:szCs w:val="24"/>
        </w:rPr>
        <w:t>ekhez</w:t>
      </w:r>
      <w:r w:rsidR="00E23DAE">
        <w:rPr>
          <w:rFonts w:ascii="Times New Roman" w:hAnsi="Times New Roman" w:cs="Times New Roman"/>
          <w:sz w:val="24"/>
          <w:szCs w:val="24"/>
        </w:rPr>
        <w:t xml:space="preserve"> képest a legegyszerűbb és a legfiatalabb is, hiszen közel 10 éves m</w:t>
      </w:r>
      <w:r w:rsidR="00A16516">
        <w:rPr>
          <w:rFonts w:ascii="Times New Roman" w:hAnsi="Times New Roman" w:cs="Times New Roman"/>
          <w:sz w:val="24"/>
          <w:szCs w:val="24"/>
        </w:rPr>
        <w:t>últra tekint vissza. A</w:t>
      </w:r>
      <w:r w:rsidR="00E23DAE">
        <w:rPr>
          <w:rFonts w:ascii="Times New Roman" w:hAnsi="Times New Roman" w:cs="Times New Roman"/>
          <w:sz w:val="24"/>
          <w:szCs w:val="24"/>
        </w:rPr>
        <w:t xml:space="preserve"> gazdasági potenciál hiányára és a fogyasztók preferenciáira tekintettel viszonylag alacsony </w:t>
      </w:r>
      <w:r w:rsidR="00890D9A">
        <w:rPr>
          <w:rFonts w:ascii="Times New Roman" w:hAnsi="Times New Roman" w:cs="Times New Roman"/>
          <w:sz w:val="24"/>
          <w:szCs w:val="24"/>
        </w:rPr>
        <w:t>költségvetési</w:t>
      </w:r>
      <w:r w:rsidR="00E23DAE">
        <w:rPr>
          <w:rFonts w:ascii="Times New Roman" w:hAnsi="Times New Roman" w:cs="Times New Roman"/>
          <w:sz w:val="24"/>
          <w:szCs w:val="24"/>
        </w:rPr>
        <w:t xml:space="preserve"> bevételeket eredményez az adónem, és nem is valósul meg teljesen a v</w:t>
      </w:r>
      <w:r w:rsidR="007D10B3">
        <w:rPr>
          <w:rFonts w:ascii="Times New Roman" w:hAnsi="Times New Roman" w:cs="Times New Roman"/>
          <w:sz w:val="24"/>
          <w:szCs w:val="24"/>
        </w:rPr>
        <w:t xml:space="preserve">árt ösztönző hatása </w:t>
      </w:r>
      <w:r w:rsidR="00E23DAE">
        <w:rPr>
          <w:rFonts w:ascii="Times New Roman" w:hAnsi="Times New Roman" w:cs="Times New Roman"/>
          <w:sz w:val="24"/>
          <w:szCs w:val="24"/>
        </w:rPr>
        <w:t>úgy</w:t>
      </w:r>
      <w:r w:rsidR="007D10B3">
        <w:rPr>
          <w:rFonts w:ascii="Times New Roman" w:hAnsi="Times New Roman" w:cs="Times New Roman"/>
          <w:sz w:val="24"/>
          <w:szCs w:val="24"/>
        </w:rPr>
        <w:t>,</w:t>
      </w:r>
      <w:r w:rsidR="00E23DAE">
        <w:rPr>
          <w:rFonts w:ascii="Times New Roman" w:hAnsi="Times New Roman" w:cs="Times New Roman"/>
          <w:sz w:val="24"/>
          <w:szCs w:val="24"/>
        </w:rPr>
        <w:t xml:space="preserve"> mint a </w:t>
      </w:r>
      <w:r w:rsidR="00890D9A">
        <w:rPr>
          <w:rFonts w:ascii="Times New Roman" w:hAnsi="Times New Roman" w:cs="Times New Roman"/>
          <w:sz w:val="24"/>
          <w:szCs w:val="24"/>
        </w:rPr>
        <w:t>fenti három ország esetén. Van még mit tanulnunk, de könnyebb helyzetben vagyunk, mint a 20. század derekán a jelenleg élenjáró országok, hiszen a szabályozásunkat a több tíz éves nyugati tagállamok tapasztalatára alapíthatjuk.</w:t>
      </w:r>
    </w:p>
    <w:p w:rsidR="00503A16" w:rsidRPr="00413518" w:rsidRDefault="00503A16" w:rsidP="0069191A">
      <w:pPr>
        <w:pStyle w:val="Cmsor1"/>
        <w:numPr>
          <w:ilvl w:val="0"/>
          <w:numId w:val="5"/>
        </w:numPr>
        <w:spacing w:line="360" w:lineRule="auto"/>
        <w:ind w:left="284" w:hanging="284"/>
        <w:rPr>
          <w:rFonts w:ascii="Times New Roman" w:hAnsi="Times New Roman" w:cs="Times New Roman"/>
        </w:rPr>
      </w:pPr>
      <w:bookmarkStart w:id="1" w:name="_Toc340927908"/>
      <w:r w:rsidRPr="00413518">
        <w:rPr>
          <w:rFonts w:ascii="Times New Roman" w:hAnsi="Times New Roman" w:cs="Times New Roman"/>
        </w:rPr>
        <w:lastRenderedPageBreak/>
        <w:t>A</w:t>
      </w:r>
      <w:r w:rsidR="00BF1E2F">
        <w:rPr>
          <w:rFonts w:ascii="Times New Roman" w:hAnsi="Times New Roman" w:cs="Times New Roman"/>
        </w:rPr>
        <w:t>Z ENERGIAADÓK SZEREPE A</w:t>
      </w:r>
      <w:r w:rsidRPr="00413518">
        <w:rPr>
          <w:rFonts w:ascii="Times New Roman" w:hAnsi="Times New Roman" w:cs="Times New Roman"/>
        </w:rPr>
        <w:t xml:space="preserve"> KÖRNYEZETVÉDELMI SZABÁLYOZÁS</w:t>
      </w:r>
      <w:r w:rsidR="00BF1E2F">
        <w:rPr>
          <w:rFonts w:ascii="Times New Roman" w:hAnsi="Times New Roman" w:cs="Times New Roman"/>
        </w:rPr>
        <w:t>BAN</w:t>
      </w:r>
      <w:bookmarkEnd w:id="1"/>
      <w:r w:rsidR="000B6D2B" w:rsidRPr="00413518">
        <w:rPr>
          <w:rFonts w:ascii="Times New Roman" w:hAnsi="Times New Roman" w:cs="Times New Roman"/>
        </w:rPr>
        <w:tab/>
      </w:r>
      <w:r w:rsidR="000B6D2B" w:rsidRPr="00413518">
        <w:rPr>
          <w:rFonts w:ascii="Times New Roman" w:hAnsi="Times New Roman" w:cs="Times New Roman"/>
        </w:rPr>
        <w:br/>
      </w:r>
    </w:p>
    <w:p w:rsidR="000B5178" w:rsidRDefault="00682295" w:rsidP="00BF1E2F">
      <w:pPr>
        <w:spacing w:line="360" w:lineRule="auto"/>
        <w:jc w:val="both"/>
        <w:rPr>
          <w:rStyle w:val="Kiemels"/>
          <w:rFonts w:ascii="Times New Roman" w:hAnsi="Times New Roman" w:cs="Times New Roman"/>
          <w:b w:val="0"/>
          <w:bCs w:val="0"/>
          <w:i w:val="0"/>
          <w:iCs w:val="0"/>
          <w:spacing w:val="0"/>
          <w:sz w:val="24"/>
          <w:szCs w:val="24"/>
        </w:rPr>
      </w:pPr>
      <w:r w:rsidRPr="00413518">
        <w:rPr>
          <w:rFonts w:ascii="Times New Roman" w:hAnsi="Times New Roman" w:cs="Times New Roman"/>
          <w:sz w:val="24"/>
          <w:szCs w:val="24"/>
        </w:rPr>
        <w:tab/>
        <w:t>A környezetvéde</w:t>
      </w:r>
      <w:r w:rsidR="00991B3A">
        <w:rPr>
          <w:rFonts w:ascii="Times New Roman" w:hAnsi="Times New Roman" w:cs="Times New Roman"/>
          <w:sz w:val="24"/>
          <w:szCs w:val="24"/>
        </w:rPr>
        <w:t>lmi szabályozás célja a környezet érdekének a védelme, a környezetterhelés visszaszorítása és a fenntartható fejlődés biztosítása.</w:t>
      </w:r>
      <w:r w:rsidR="00991B3A">
        <w:rPr>
          <w:rStyle w:val="Lbjegyzet-hivatkozs"/>
          <w:sz w:val="24"/>
          <w:szCs w:val="24"/>
        </w:rPr>
        <w:footnoteReference w:id="5"/>
      </w:r>
      <w:r w:rsidR="00991B3A">
        <w:rPr>
          <w:rFonts w:ascii="Times New Roman" w:hAnsi="Times New Roman" w:cs="Times New Roman"/>
          <w:sz w:val="24"/>
          <w:szCs w:val="24"/>
        </w:rPr>
        <w:t xml:space="preserve"> Ebben a keretben a </w:t>
      </w:r>
      <w:r w:rsidRPr="00413518">
        <w:rPr>
          <w:rFonts w:ascii="Times New Roman" w:hAnsi="Times New Roman" w:cs="Times New Roman"/>
          <w:sz w:val="24"/>
          <w:szCs w:val="24"/>
        </w:rPr>
        <w:t>gazdálkodó szervezetek</w:t>
      </w:r>
      <w:r w:rsidR="00991B3A">
        <w:rPr>
          <w:rFonts w:ascii="Times New Roman" w:hAnsi="Times New Roman" w:cs="Times New Roman"/>
          <w:sz w:val="24"/>
          <w:szCs w:val="24"/>
        </w:rPr>
        <w:t>kel szemben alapvető követelmény, hogy</w:t>
      </w:r>
      <w:r w:rsidRPr="00413518">
        <w:rPr>
          <w:rFonts w:ascii="Times New Roman" w:hAnsi="Times New Roman" w:cs="Times New Roman"/>
          <w:sz w:val="24"/>
          <w:szCs w:val="24"/>
        </w:rPr>
        <w:t xml:space="preserve"> oly módon folytassák a tevékenységüket, hogy a környezet állapota a megfelelő minőségben, tartósan fennmaradjon, tehát bizonyos környezeti minőségre vonatkozó környezeti normákat mindenki betartson.</w:t>
      </w:r>
      <w:r w:rsidRPr="00413518">
        <w:rPr>
          <w:rStyle w:val="Lbjegyzet-hivatkozs"/>
          <w:sz w:val="24"/>
          <w:szCs w:val="24"/>
        </w:rPr>
        <w:footnoteReference w:id="6"/>
      </w:r>
      <w:r w:rsidRPr="00413518">
        <w:rPr>
          <w:rFonts w:ascii="Times New Roman" w:hAnsi="Times New Roman" w:cs="Times New Roman"/>
          <w:sz w:val="24"/>
          <w:szCs w:val="24"/>
        </w:rPr>
        <w:t xml:space="preserve"> Ha ezt a célt meg akarjuk valósítani</w:t>
      </w:r>
      <w:r w:rsidR="00497589" w:rsidRPr="00413518">
        <w:rPr>
          <w:rFonts w:ascii="Times New Roman" w:hAnsi="Times New Roman" w:cs="Times New Roman"/>
          <w:sz w:val="24"/>
          <w:szCs w:val="24"/>
        </w:rPr>
        <w:t>,</w:t>
      </w:r>
      <w:r w:rsidRPr="00413518">
        <w:rPr>
          <w:rFonts w:ascii="Times New Roman" w:hAnsi="Times New Roman" w:cs="Times New Roman"/>
          <w:sz w:val="24"/>
          <w:szCs w:val="24"/>
        </w:rPr>
        <w:t xml:space="preserve"> </w:t>
      </w:r>
      <w:r w:rsidR="00497589" w:rsidRPr="00413518">
        <w:rPr>
          <w:rFonts w:ascii="Times New Roman" w:hAnsi="Times New Roman" w:cs="Times New Roman"/>
          <w:sz w:val="24"/>
          <w:szCs w:val="24"/>
        </w:rPr>
        <w:t xml:space="preserve">akkor </w:t>
      </w:r>
      <w:r w:rsidRPr="00413518">
        <w:rPr>
          <w:rFonts w:ascii="Times New Roman" w:hAnsi="Times New Roman" w:cs="Times New Roman"/>
          <w:sz w:val="24"/>
          <w:szCs w:val="24"/>
        </w:rPr>
        <w:t>számos követelménynek</w:t>
      </w:r>
      <w:r w:rsidRPr="00413518">
        <w:rPr>
          <w:rStyle w:val="Lbjegyzet-hivatkozs"/>
          <w:sz w:val="24"/>
          <w:szCs w:val="24"/>
        </w:rPr>
        <w:footnoteReference w:id="7"/>
      </w:r>
      <w:r w:rsidRPr="00413518">
        <w:rPr>
          <w:rFonts w:ascii="Times New Roman" w:hAnsi="Times New Roman" w:cs="Times New Roman"/>
          <w:sz w:val="24"/>
          <w:szCs w:val="24"/>
        </w:rPr>
        <w:t xml:space="preserve"> kell eleget tennünk.</w:t>
      </w:r>
      <w:r w:rsidR="00991B3A">
        <w:rPr>
          <w:rFonts w:ascii="Times New Roman" w:hAnsi="Times New Roman" w:cs="Times New Roman"/>
          <w:sz w:val="24"/>
          <w:szCs w:val="24"/>
        </w:rPr>
        <w:tab/>
      </w:r>
      <w:r w:rsidR="00991B3A">
        <w:rPr>
          <w:rFonts w:ascii="Times New Roman" w:hAnsi="Times New Roman" w:cs="Times New Roman"/>
          <w:sz w:val="24"/>
          <w:szCs w:val="24"/>
        </w:rPr>
        <w:br/>
      </w:r>
      <w:r w:rsidR="00991B3A">
        <w:rPr>
          <w:rFonts w:ascii="Times New Roman" w:hAnsi="Times New Roman" w:cs="Times New Roman"/>
          <w:sz w:val="24"/>
          <w:szCs w:val="24"/>
        </w:rPr>
        <w:tab/>
      </w:r>
      <w:r w:rsidR="00A16516">
        <w:rPr>
          <w:rFonts w:ascii="Times New Roman" w:hAnsi="Times New Roman" w:cs="Times New Roman"/>
          <w:sz w:val="24"/>
          <w:szCs w:val="24"/>
        </w:rPr>
        <w:t>Ezek</w:t>
      </w:r>
      <w:r w:rsidR="00991B3A">
        <w:rPr>
          <w:rFonts w:ascii="Times New Roman" w:hAnsi="Times New Roman" w:cs="Times New Roman"/>
          <w:sz w:val="24"/>
          <w:szCs w:val="24"/>
        </w:rPr>
        <w:t xml:space="preserve"> </w:t>
      </w:r>
      <w:r w:rsidR="00A16516">
        <w:rPr>
          <w:rFonts w:ascii="Times New Roman" w:hAnsi="Times New Roman" w:cs="Times New Roman"/>
          <w:sz w:val="24"/>
          <w:szCs w:val="24"/>
        </w:rPr>
        <w:t>realizálásához</w:t>
      </w:r>
      <w:r w:rsidR="00991B3A">
        <w:rPr>
          <w:rFonts w:ascii="Times New Roman" w:hAnsi="Times New Roman" w:cs="Times New Roman"/>
          <w:sz w:val="24"/>
          <w:szCs w:val="24"/>
        </w:rPr>
        <w:t xml:space="preserve"> a környezetvédelmi szabályozás eszköztárát kell igénybe </w:t>
      </w:r>
      <w:r w:rsidR="00BF3E07">
        <w:rPr>
          <w:rFonts w:ascii="Times New Roman" w:hAnsi="Times New Roman" w:cs="Times New Roman"/>
          <w:sz w:val="24"/>
          <w:szCs w:val="24"/>
        </w:rPr>
        <w:t>vennünk</w:t>
      </w:r>
      <w:r w:rsidR="00991B3A">
        <w:rPr>
          <w:rFonts w:ascii="Times New Roman" w:hAnsi="Times New Roman" w:cs="Times New Roman"/>
          <w:sz w:val="24"/>
          <w:szCs w:val="24"/>
        </w:rPr>
        <w:t>. Tulajdonképpen ahány szerző fo</w:t>
      </w:r>
      <w:r w:rsidR="004D47A7">
        <w:rPr>
          <w:rFonts w:ascii="Times New Roman" w:hAnsi="Times New Roman" w:cs="Times New Roman"/>
          <w:sz w:val="24"/>
          <w:szCs w:val="24"/>
        </w:rPr>
        <w:t xml:space="preserve">glalkozik a kérdéskörrel, annyiféle </w:t>
      </w:r>
      <w:r w:rsidR="000B5178">
        <w:rPr>
          <w:rFonts w:ascii="Times New Roman" w:hAnsi="Times New Roman" w:cs="Times New Roman"/>
          <w:sz w:val="24"/>
          <w:szCs w:val="24"/>
        </w:rPr>
        <w:t xml:space="preserve">tipizálással találkozhatunk </w:t>
      </w:r>
      <w:r w:rsidR="00991B3A">
        <w:rPr>
          <w:rFonts w:ascii="Times New Roman" w:hAnsi="Times New Roman" w:cs="Times New Roman"/>
          <w:sz w:val="24"/>
          <w:szCs w:val="24"/>
        </w:rPr>
        <w:t>a szakirodalomban. Egyes szerzők</w:t>
      </w:r>
      <w:r w:rsidR="00991B3A">
        <w:rPr>
          <w:rStyle w:val="Lbjegyzet-hivatkozs"/>
          <w:sz w:val="24"/>
          <w:szCs w:val="24"/>
        </w:rPr>
        <w:footnoteReference w:id="8"/>
      </w:r>
      <w:r w:rsidR="00991B3A">
        <w:rPr>
          <w:rFonts w:ascii="Times New Roman" w:hAnsi="Times New Roman" w:cs="Times New Roman"/>
          <w:sz w:val="24"/>
          <w:szCs w:val="24"/>
        </w:rPr>
        <w:t xml:space="preserve"> szerint (1) </w:t>
      </w:r>
      <w:r w:rsidR="00991B3A">
        <w:rPr>
          <w:rFonts w:ascii="Times New Roman" w:hAnsi="Times New Roman" w:cs="Times New Roman"/>
          <w:i/>
          <w:sz w:val="24"/>
          <w:szCs w:val="24"/>
        </w:rPr>
        <w:t xml:space="preserve">jogi </w:t>
      </w:r>
      <w:r w:rsidR="00991B3A">
        <w:rPr>
          <w:rFonts w:ascii="Times New Roman" w:hAnsi="Times New Roman" w:cs="Times New Roman"/>
          <w:sz w:val="24"/>
          <w:szCs w:val="24"/>
        </w:rPr>
        <w:t xml:space="preserve">és (2) </w:t>
      </w:r>
      <w:r w:rsidR="00991B3A">
        <w:rPr>
          <w:rFonts w:ascii="Times New Roman" w:hAnsi="Times New Roman" w:cs="Times New Roman"/>
          <w:i/>
          <w:sz w:val="24"/>
          <w:szCs w:val="24"/>
        </w:rPr>
        <w:t>közgazdaságtani (piaci)</w:t>
      </w:r>
      <w:r w:rsidR="00991B3A">
        <w:rPr>
          <w:rFonts w:ascii="Times New Roman" w:hAnsi="Times New Roman" w:cs="Times New Roman"/>
          <w:sz w:val="24"/>
          <w:szCs w:val="24"/>
        </w:rPr>
        <w:t xml:space="preserve"> eszközöket különböztethetünk meg. A jogi eszközök, amelyek a normatív szabályozást valósítják meg, az (1) </w:t>
      </w:r>
      <w:r w:rsidR="00991B3A" w:rsidRPr="00BF3E07">
        <w:rPr>
          <w:rFonts w:ascii="Times New Roman" w:hAnsi="Times New Roman" w:cs="Times New Roman"/>
          <w:i/>
          <w:sz w:val="24"/>
          <w:szCs w:val="24"/>
        </w:rPr>
        <w:t>engedélyezés</w:t>
      </w:r>
      <w:r w:rsidR="00991B3A">
        <w:rPr>
          <w:rFonts w:ascii="Times New Roman" w:hAnsi="Times New Roman" w:cs="Times New Roman"/>
          <w:sz w:val="24"/>
          <w:szCs w:val="24"/>
        </w:rPr>
        <w:t xml:space="preserve">, (2) </w:t>
      </w:r>
      <w:r w:rsidR="00991B3A">
        <w:rPr>
          <w:rFonts w:ascii="Times New Roman" w:hAnsi="Times New Roman" w:cs="Times New Roman"/>
          <w:i/>
          <w:sz w:val="24"/>
          <w:szCs w:val="24"/>
        </w:rPr>
        <w:t>a működés ellenőrzés (bírság)</w:t>
      </w:r>
      <w:r w:rsidR="00991B3A">
        <w:rPr>
          <w:rFonts w:ascii="Times New Roman" w:hAnsi="Times New Roman" w:cs="Times New Roman"/>
          <w:sz w:val="24"/>
          <w:szCs w:val="24"/>
        </w:rPr>
        <w:t xml:space="preserve"> és a (3) </w:t>
      </w:r>
      <w:r w:rsidR="00991B3A">
        <w:rPr>
          <w:rFonts w:ascii="Times New Roman" w:hAnsi="Times New Roman" w:cs="Times New Roman"/>
          <w:i/>
          <w:sz w:val="24"/>
          <w:szCs w:val="24"/>
        </w:rPr>
        <w:t>a betiltás.</w:t>
      </w:r>
      <w:r w:rsidR="000B5178">
        <w:rPr>
          <w:rFonts w:ascii="Times New Roman" w:hAnsi="Times New Roman" w:cs="Times New Roman"/>
          <w:sz w:val="24"/>
          <w:szCs w:val="24"/>
        </w:rPr>
        <w:t xml:space="preserve"> H</w:t>
      </w:r>
      <w:r w:rsidR="00991B3A">
        <w:rPr>
          <w:rFonts w:ascii="Times New Roman" w:hAnsi="Times New Roman" w:cs="Times New Roman"/>
          <w:sz w:val="24"/>
          <w:szCs w:val="24"/>
        </w:rPr>
        <w:t>atékonyság</w:t>
      </w:r>
      <w:r w:rsidR="000B5178">
        <w:rPr>
          <w:rFonts w:ascii="Times New Roman" w:hAnsi="Times New Roman" w:cs="Times New Roman"/>
          <w:sz w:val="24"/>
          <w:szCs w:val="24"/>
        </w:rPr>
        <w:t>ukat tekintve csökkenő</w:t>
      </w:r>
      <w:r w:rsidR="000B5178">
        <w:rPr>
          <w:rStyle w:val="Lbjegyzet-hivatkozs"/>
          <w:sz w:val="24"/>
          <w:szCs w:val="24"/>
        </w:rPr>
        <w:footnoteReference w:id="9"/>
      </w:r>
      <w:r w:rsidR="000B5178">
        <w:rPr>
          <w:rFonts w:ascii="Times New Roman" w:hAnsi="Times New Roman" w:cs="Times New Roman"/>
          <w:sz w:val="24"/>
          <w:szCs w:val="24"/>
        </w:rPr>
        <w:t xml:space="preserve"> tendencia figyelhető meg </w:t>
      </w:r>
      <w:r w:rsidR="00991B3A">
        <w:rPr>
          <w:rFonts w:ascii="Times New Roman" w:hAnsi="Times New Roman" w:cs="Times New Roman"/>
          <w:sz w:val="24"/>
          <w:szCs w:val="24"/>
        </w:rPr>
        <w:t xml:space="preserve">az utóbbi időben, így a célkitűzések megvalósítását </w:t>
      </w:r>
      <w:r w:rsidR="00E1243C">
        <w:rPr>
          <w:rFonts w:ascii="Times New Roman" w:hAnsi="Times New Roman" w:cs="Times New Roman"/>
          <w:sz w:val="24"/>
          <w:szCs w:val="24"/>
        </w:rPr>
        <w:t xml:space="preserve">leghatékonyabban </w:t>
      </w:r>
      <w:r w:rsidR="00991B3A">
        <w:rPr>
          <w:rFonts w:ascii="Times New Roman" w:hAnsi="Times New Roman" w:cs="Times New Roman"/>
          <w:sz w:val="24"/>
          <w:szCs w:val="24"/>
        </w:rPr>
        <w:t>szolgáló eszközöket a közgazdaságtani kategóriában találhatjuk meg.</w:t>
      </w:r>
      <w:r w:rsidR="00E1243C">
        <w:rPr>
          <w:rFonts w:ascii="Times New Roman" w:hAnsi="Times New Roman" w:cs="Times New Roman"/>
          <w:sz w:val="24"/>
          <w:szCs w:val="24"/>
        </w:rPr>
        <w:t xml:space="preserve"> Ebben a csoportban</w:t>
      </w:r>
      <w:r w:rsidR="00E1243C">
        <w:rPr>
          <w:rStyle w:val="Lbjegyzet-hivatkozs"/>
          <w:sz w:val="24"/>
          <w:szCs w:val="24"/>
        </w:rPr>
        <w:footnoteReference w:id="10"/>
      </w:r>
      <w:r w:rsidR="00E1243C">
        <w:rPr>
          <w:rFonts w:ascii="Times New Roman" w:hAnsi="Times New Roman" w:cs="Times New Roman"/>
          <w:sz w:val="24"/>
          <w:szCs w:val="24"/>
        </w:rPr>
        <w:t xml:space="preserve"> a leghatékonyabb </w:t>
      </w:r>
      <w:r w:rsidR="000B5178">
        <w:rPr>
          <w:rFonts w:ascii="Times New Roman" w:hAnsi="Times New Roman" w:cs="Times New Roman"/>
          <w:sz w:val="24"/>
          <w:szCs w:val="24"/>
        </w:rPr>
        <w:t>instrumentumnak</w:t>
      </w:r>
      <w:r w:rsidR="00E1243C">
        <w:rPr>
          <w:rFonts w:ascii="Times New Roman" w:hAnsi="Times New Roman" w:cs="Times New Roman"/>
          <w:sz w:val="24"/>
          <w:szCs w:val="24"/>
        </w:rPr>
        <w:t xml:space="preserve"> az adók minősülnek, így az energiaadó.</w:t>
      </w:r>
      <w:r w:rsidR="00B733FF">
        <w:rPr>
          <w:rFonts w:ascii="Times New Roman" w:hAnsi="Times New Roman" w:cs="Times New Roman"/>
          <w:sz w:val="24"/>
          <w:szCs w:val="24"/>
        </w:rPr>
        <w:tab/>
      </w:r>
      <w:r w:rsidR="00B733FF">
        <w:rPr>
          <w:rFonts w:ascii="Times New Roman" w:hAnsi="Times New Roman" w:cs="Times New Roman"/>
          <w:sz w:val="24"/>
          <w:szCs w:val="24"/>
        </w:rPr>
        <w:br/>
      </w:r>
      <w:r w:rsidR="00B733FF">
        <w:rPr>
          <w:rFonts w:ascii="Times New Roman" w:hAnsi="Times New Roman" w:cs="Times New Roman"/>
          <w:sz w:val="24"/>
          <w:szCs w:val="24"/>
        </w:rPr>
        <w:tab/>
        <w:t>Más szerzők</w:t>
      </w:r>
      <w:r w:rsidR="00B733FF">
        <w:rPr>
          <w:rStyle w:val="Lbjegyzet-hivatkozs"/>
          <w:sz w:val="24"/>
          <w:szCs w:val="24"/>
        </w:rPr>
        <w:footnoteReference w:id="11"/>
      </w:r>
      <w:r w:rsidR="00E1243C">
        <w:rPr>
          <w:rFonts w:ascii="Times New Roman" w:hAnsi="Times New Roman" w:cs="Times New Roman"/>
          <w:sz w:val="24"/>
          <w:szCs w:val="24"/>
        </w:rPr>
        <w:tab/>
      </w:r>
      <w:r w:rsidR="00B733FF">
        <w:rPr>
          <w:rFonts w:ascii="Times New Roman" w:hAnsi="Times New Roman" w:cs="Times New Roman"/>
          <w:sz w:val="24"/>
          <w:szCs w:val="24"/>
        </w:rPr>
        <w:t xml:space="preserve">szűkebb kört vizsgálnak, amelyeket összefoglalóan </w:t>
      </w:r>
      <w:r w:rsidR="00B733FF">
        <w:rPr>
          <w:rFonts w:ascii="Times New Roman" w:hAnsi="Times New Roman" w:cs="Times New Roman"/>
          <w:i/>
          <w:sz w:val="24"/>
          <w:szCs w:val="24"/>
        </w:rPr>
        <w:t xml:space="preserve">környezeti elvonásoknak </w:t>
      </w:r>
      <w:r w:rsidR="00BF3E07">
        <w:rPr>
          <w:rFonts w:ascii="Times New Roman" w:hAnsi="Times New Roman" w:cs="Times New Roman"/>
          <w:sz w:val="24"/>
          <w:szCs w:val="24"/>
        </w:rPr>
        <w:t>nevez</w:t>
      </w:r>
      <w:r w:rsidR="00B733FF">
        <w:rPr>
          <w:rFonts w:ascii="Times New Roman" w:hAnsi="Times New Roman" w:cs="Times New Roman"/>
          <w:sz w:val="24"/>
          <w:szCs w:val="24"/>
        </w:rPr>
        <w:t>n</w:t>
      </w:r>
      <w:r w:rsidR="00BF3E07">
        <w:rPr>
          <w:rFonts w:ascii="Times New Roman" w:hAnsi="Times New Roman" w:cs="Times New Roman"/>
          <w:sz w:val="24"/>
          <w:szCs w:val="24"/>
        </w:rPr>
        <w:t>e</w:t>
      </w:r>
      <w:r w:rsidR="00B733FF">
        <w:rPr>
          <w:rFonts w:ascii="Times New Roman" w:hAnsi="Times New Roman" w:cs="Times New Roman"/>
          <w:sz w:val="24"/>
          <w:szCs w:val="24"/>
        </w:rPr>
        <w:t xml:space="preserve">k. A rendszerben szintén az adók, így az </w:t>
      </w:r>
      <w:r w:rsidR="00B733FF">
        <w:rPr>
          <w:rFonts w:ascii="Times New Roman" w:hAnsi="Times New Roman" w:cs="Times New Roman"/>
          <w:i/>
          <w:sz w:val="24"/>
          <w:szCs w:val="24"/>
        </w:rPr>
        <w:t>energiaadó</w:t>
      </w:r>
      <w:r w:rsidR="00B733FF">
        <w:rPr>
          <w:rFonts w:ascii="Times New Roman" w:hAnsi="Times New Roman" w:cs="Times New Roman"/>
          <w:sz w:val="24"/>
          <w:szCs w:val="24"/>
        </w:rPr>
        <w:t xml:space="preserve"> bír kulcsfontosságú szereppel. Az energiaadó </w:t>
      </w:r>
      <w:r w:rsidR="00B733FF">
        <w:rPr>
          <w:rFonts w:ascii="Times New Roman" w:hAnsi="Times New Roman" w:cs="Times New Roman"/>
          <w:i/>
          <w:sz w:val="24"/>
          <w:szCs w:val="24"/>
        </w:rPr>
        <w:t>közvetlen</w:t>
      </w:r>
      <w:r w:rsidR="00B733FF">
        <w:rPr>
          <w:rFonts w:ascii="Times New Roman" w:hAnsi="Times New Roman" w:cs="Times New Roman"/>
          <w:sz w:val="24"/>
          <w:szCs w:val="24"/>
        </w:rPr>
        <w:t xml:space="preserve"> elvonásnak</w:t>
      </w:r>
      <w:r w:rsidR="00B733FF">
        <w:rPr>
          <w:rStyle w:val="Lbjegyzet-hivatkozs"/>
          <w:sz w:val="24"/>
          <w:szCs w:val="24"/>
        </w:rPr>
        <w:footnoteReference w:id="12"/>
      </w:r>
      <w:r w:rsidR="00B733FF">
        <w:rPr>
          <w:rFonts w:ascii="Times New Roman" w:hAnsi="Times New Roman" w:cs="Times New Roman"/>
          <w:sz w:val="24"/>
          <w:szCs w:val="24"/>
        </w:rPr>
        <w:t xml:space="preserve"> minősül.</w:t>
      </w:r>
      <w:r w:rsidR="00E1243C">
        <w:rPr>
          <w:rFonts w:ascii="Times New Roman" w:hAnsi="Times New Roman" w:cs="Times New Roman"/>
          <w:sz w:val="24"/>
          <w:szCs w:val="24"/>
        </w:rPr>
        <w:br/>
      </w:r>
      <w:r w:rsidR="00E1243C">
        <w:rPr>
          <w:rFonts w:ascii="Times New Roman" w:hAnsi="Times New Roman" w:cs="Times New Roman"/>
          <w:sz w:val="24"/>
          <w:szCs w:val="24"/>
        </w:rPr>
        <w:tab/>
        <w:t>Egyéb felosztáso</w:t>
      </w:r>
      <w:r w:rsidR="00B733FF">
        <w:rPr>
          <w:rFonts w:ascii="Times New Roman" w:hAnsi="Times New Roman" w:cs="Times New Roman"/>
          <w:sz w:val="24"/>
          <w:szCs w:val="24"/>
        </w:rPr>
        <w:t>k</w:t>
      </w:r>
      <w:r w:rsidR="00E1243C">
        <w:rPr>
          <w:rStyle w:val="Lbjegyzet-hivatkozs"/>
          <w:sz w:val="24"/>
          <w:szCs w:val="24"/>
        </w:rPr>
        <w:footnoteReference w:id="13"/>
      </w:r>
      <w:r w:rsidR="00B733FF">
        <w:rPr>
          <w:rFonts w:ascii="Times New Roman" w:hAnsi="Times New Roman" w:cs="Times New Roman"/>
          <w:sz w:val="24"/>
          <w:szCs w:val="24"/>
        </w:rPr>
        <w:t xml:space="preserve">, amelyek a fentebb ismertetett két rendszert </w:t>
      </w:r>
      <w:r w:rsidR="00BF3E07">
        <w:rPr>
          <w:rFonts w:ascii="Times New Roman" w:hAnsi="Times New Roman" w:cs="Times New Roman"/>
          <w:sz w:val="24"/>
          <w:szCs w:val="24"/>
        </w:rPr>
        <w:t>integrálják,</w:t>
      </w:r>
      <w:r w:rsidR="00B733FF">
        <w:rPr>
          <w:rFonts w:ascii="Times New Roman" w:hAnsi="Times New Roman" w:cs="Times New Roman"/>
          <w:sz w:val="24"/>
          <w:szCs w:val="24"/>
        </w:rPr>
        <w:t xml:space="preserve"> kétféle </w:t>
      </w:r>
      <w:r w:rsidR="00B733FF">
        <w:rPr>
          <w:rFonts w:ascii="Times New Roman" w:hAnsi="Times New Roman" w:cs="Times New Roman"/>
          <w:sz w:val="24"/>
          <w:szCs w:val="24"/>
        </w:rPr>
        <w:lastRenderedPageBreak/>
        <w:t>formát különböztet</w:t>
      </w:r>
      <w:r w:rsidR="00E1243C">
        <w:rPr>
          <w:rFonts w:ascii="Times New Roman" w:hAnsi="Times New Roman" w:cs="Times New Roman"/>
          <w:sz w:val="24"/>
          <w:szCs w:val="24"/>
        </w:rPr>
        <w:t>nek</w:t>
      </w:r>
      <w:r w:rsidRPr="00413518">
        <w:rPr>
          <w:rFonts w:ascii="Times New Roman" w:hAnsi="Times New Roman" w:cs="Times New Roman"/>
          <w:sz w:val="24"/>
          <w:szCs w:val="24"/>
        </w:rPr>
        <w:t xml:space="preserve"> meg</w:t>
      </w:r>
      <w:r w:rsidR="00E1243C">
        <w:rPr>
          <w:rFonts w:ascii="Times New Roman" w:hAnsi="Times New Roman" w:cs="Times New Roman"/>
          <w:sz w:val="24"/>
          <w:szCs w:val="24"/>
        </w:rPr>
        <w:t xml:space="preserve">, a </w:t>
      </w:r>
      <w:r w:rsidRPr="00413518">
        <w:rPr>
          <w:rFonts w:ascii="Times New Roman" w:hAnsi="Times New Roman" w:cs="Times New Roman"/>
          <w:sz w:val="24"/>
          <w:szCs w:val="24"/>
        </w:rPr>
        <w:t xml:space="preserve">(1) </w:t>
      </w:r>
      <w:r w:rsidRPr="00413518">
        <w:rPr>
          <w:rFonts w:ascii="Times New Roman" w:hAnsi="Times New Roman" w:cs="Times New Roman"/>
          <w:i/>
          <w:sz w:val="24"/>
          <w:szCs w:val="24"/>
        </w:rPr>
        <w:t>közvetlen vagy normatív szabályozás</w:t>
      </w:r>
      <w:r w:rsidR="00E1243C">
        <w:rPr>
          <w:rFonts w:ascii="Times New Roman" w:hAnsi="Times New Roman" w:cs="Times New Roman"/>
          <w:i/>
          <w:sz w:val="24"/>
          <w:szCs w:val="24"/>
        </w:rPr>
        <w:t>t</w:t>
      </w:r>
      <w:r w:rsidRPr="00413518">
        <w:rPr>
          <w:rFonts w:ascii="Times New Roman" w:hAnsi="Times New Roman" w:cs="Times New Roman"/>
          <w:sz w:val="24"/>
          <w:szCs w:val="24"/>
        </w:rPr>
        <w:t xml:space="preserve">, és a (2) </w:t>
      </w:r>
      <w:r w:rsidRPr="00413518">
        <w:rPr>
          <w:rFonts w:ascii="Times New Roman" w:hAnsi="Times New Roman" w:cs="Times New Roman"/>
          <w:i/>
          <w:sz w:val="24"/>
          <w:szCs w:val="24"/>
        </w:rPr>
        <w:t>közvetett gazdasági szabályozást.</w:t>
      </w:r>
      <w:r w:rsidR="00B733FF">
        <w:rPr>
          <w:rFonts w:ascii="Times New Roman" w:hAnsi="Times New Roman" w:cs="Times New Roman"/>
          <w:i/>
          <w:sz w:val="24"/>
          <w:szCs w:val="24"/>
        </w:rPr>
        <w:t xml:space="preserve"> </w:t>
      </w:r>
      <w:r w:rsidRPr="00413518">
        <w:rPr>
          <w:rFonts w:ascii="Times New Roman" w:hAnsi="Times New Roman" w:cs="Times New Roman"/>
          <w:sz w:val="24"/>
          <w:szCs w:val="24"/>
        </w:rPr>
        <w:t xml:space="preserve">A </w:t>
      </w:r>
      <w:r w:rsidRPr="00413518">
        <w:rPr>
          <w:rFonts w:ascii="Times New Roman" w:hAnsi="Times New Roman" w:cs="Times New Roman"/>
          <w:i/>
          <w:sz w:val="24"/>
          <w:szCs w:val="24"/>
        </w:rPr>
        <w:t xml:space="preserve">közvetlen </w:t>
      </w:r>
      <w:r w:rsidRPr="00413518">
        <w:rPr>
          <w:rFonts w:ascii="Times New Roman" w:hAnsi="Times New Roman" w:cs="Times New Roman"/>
          <w:sz w:val="24"/>
          <w:szCs w:val="24"/>
        </w:rPr>
        <w:t>szabályozás</w:t>
      </w:r>
      <w:r w:rsidR="004F2784" w:rsidRPr="00413518">
        <w:rPr>
          <w:rStyle w:val="Lbjegyzet-hivatkozs"/>
          <w:sz w:val="24"/>
          <w:szCs w:val="24"/>
        </w:rPr>
        <w:footnoteReference w:id="14"/>
      </w:r>
      <w:r w:rsidRPr="00413518">
        <w:rPr>
          <w:rFonts w:ascii="Times New Roman" w:hAnsi="Times New Roman" w:cs="Times New Roman"/>
          <w:sz w:val="24"/>
          <w:szCs w:val="24"/>
        </w:rPr>
        <w:t xml:space="preserve"> területén a legelterjedtebb</w:t>
      </w:r>
      <w:r w:rsidR="00B733FF">
        <w:rPr>
          <w:rFonts w:ascii="Times New Roman" w:hAnsi="Times New Roman" w:cs="Times New Roman"/>
          <w:sz w:val="24"/>
          <w:szCs w:val="24"/>
        </w:rPr>
        <w:t>ek</w:t>
      </w:r>
      <w:r w:rsidRPr="00413518">
        <w:rPr>
          <w:rFonts w:ascii="Times New Roman" w:hAnsi="Times New Roman" w:cs="Times New Roman"/>
          <w:sz w:val="24"/>
          <w:szCs w:val="24"/>
        </w:rPr>
        <w:t xml:space="preserve"> a normák, jogszabályok útján történő szabályozás. Ez döntően adminisztratív jellegű, korlátozásokon, tilalmakon alapul, így képes segíteni a környezetre káros tevékenységek meg</w:t>
      </w:r>
      <w:r w:rsidR="00A16516">
        <w:rPr>
          <w:rFonts w:ascii="Times New Roman" w:hAnsi="Times New Roman" w:cs="Times New Roman"/>
          <w:sz w:val="24"/>
          <w:szCs w:val="24"/>
        </w:rPr>
        <w:t xml:space="preserve">akadályozását, </w:t>
      </w:r>
      <w:r w:rsidRPr="00413518">
        <w:rPr>
          <w:rFonts w:ascii="Times New Roman" w:hAnsi="Times New Roman" w:cs="Times New Roman"/>
          <w:sz w:val="24"/>
          <w:szCs w:val="24"/>
        </w:rPr>
        <w:t>korlátozását.</w:t>
      </w:r>
      <w:r w:rsidRPr="00413518">
        <w:rPr>
          <w:rStyle w:val="Lbjegyzet-hivatkozs"/>
          <w:sz w:val="24"/>
          <w:szCs w:val="24"/>
        </w:rPr>
        <w:footnoteReference w:id="15"/>
      </w:r>
      <w:r w:rsidRPr="00413518">
        <w:rPr>
          <w:rFonts w:ascii="Times New Roman" w:hAnsi="Times New Roman" w:cs="Times New Roman"/>
          <w:sz w:val="24"/>
          <w:szCs w:val="24"/>
        </w:rPr>
        <w:t xml:space="preserve"> A környezetminőségi normák adott térségre vonatkoznak. </w:t>
      </w:r>
      <w:r w:rsidR="004F2784" w:rsidRPr="00413518">
        <w:rPr>
          <w:rFonts w:ascii="Times New Roman" w:hAnsi="Times New Roman" w:cs="Times New Roman"/>
          <w:sz w:val="24"/>
          <w:szCs w:val="24"/>
        </w:rPr>
        <w:t>Azt írják e</w:t>
      </w:r>
      <w:r w:rsidR="00A16516">
        <w:rPr>
          <w:rFonts w:ascii="Times New Roman" w:hAnsi="Times New Roman" w:cs="Times New Roman"/>
          <w:sz w:val="24"/>
          <w:szCs w:val="24"/>
        </w:rPr>
        <w:t xml:space="preserve">lő - </w:t>
      </w:r>
      <w:r w:rsidR="00C51CD8">
        <w:rPr>
          <w:rFonts w:ascii="Times New Roman" w:hAnsi="Times New Roman" w:cs="Times New Roman"/>
          <w:sz w:val="24"/>
          <w:szCs w:val="24"/>
        </w:rPr>
        <w:t>kógens módon</w:t>
      </w:r>
      <w:r w:rsidR="004F2784" w:rsidRPr="00413518">
        <w:rPr>
          <w:rFonts w:ascii="Times New Roman" w:hAnsi="Times New Roman" w:cs="Times New Roman"/>
          <w:sz w:val="24"/>
          <w:szCs w:val="24"/>
        </w:rPr>
        <w:t>-, hogy az egyes környezeti elemek</w:t>
      </w:r>
      <w:r w:rsidR="004F2784" w:rsidRPr="00413518">
        <w:rPr>
          <w:rStyle w:val="Lbjegyzet-hivatkozs"/>
          <w:sz w:val="24"/>
          <w:szCs w:val="24"/>
        </w:rPr>
        <w:footnoteReference w:id="16"/>
      </w:r>
      <w:r w:rsidR="004F2784" w:rsidRPr="00413518">
        <w:rPr>
          <w:rFonts w:ascii="Times New Roman" w:hAnsi="Times New Roman" w:cs="Times New Roman"/>
          <w:sz w:val="24"/>
          <w:szCs w:val="24"/>
        </w:rPr>
        <w:t xml:space="preserve"> a különféle szennyezőanyagokból milyen mennyiségeket tartalmazhatnak meghatározo</w:t>
      </w:r>
      <w:r w:rsidR="00A16516">
        <w:rPr>
          <w:rFonts w:ascii="Times New Roman" w:hAnsi="Times New Roman" w:cs="Times New Roman"/>
          <w:sz w:val="24"/>
          <w:szCs w:val="24"/>
        </w:rPr>
        <w:t>tt ideig</w:t>
      </w:r>
      <w:r w:rsidR="004F2784" w:rsidRPr="00413518">
        <w:rPr>
          <w:rFonts w:ascii="Times New Roman" w:hAnsi="Times New Roman" w:cs="Times New Roman"/>
          <w:sz w:val="24"/>
          <w:szCs w:val="24"/>
        </w:rPr>
        <w:t>.</w:t>
      </w:r>
      <w:r w:rsidR="00A16516">
        <w:rPr>
          <w:rFonts w:ascii="Times New Roman" w:hAnsi="Times New Roman" w:cs="Times New Roman"/>
          <w:sz w:val="24"/>
          <w:szCs w:val="24"/>
        </w:rPr>
        <w:t xml:space="preserve"> </w:t>
      </w:r>
      <w:r w:rsidR="004F2784" w:rsidRPr="00413518">
        <w:rPr>
          <w:rFonts w:ascii="Times New Roman" w:hAnsi="Times New Roman" w:cs="Times New Roman"/>
          <w:sz w:val="24"/>
          <w:szCs w:val="24"/>
        </w:rPr>
        <w:t xml:space="preserve">A </w:t>
      </w:r>
      <w:r w:rsidR="004F2784" w:rsidRPr="00413518">
        <w:rPr>
          <w:rFonts w:ascii="Times New Roman" w:hAnsi="Times New Roman" w:cs="Times New Roman"/>
          <w:i/>
          <w:sz w:val="24"/>
          <w:szCs w:val="24"/>
        </w:rPr>
        <w:t xml:space="preserve">közvetetett </w:t>
      </w:r>
      <w:r w:rsidR="00BF3E07">
        <w:rPr>
          <w:rFonts w:ascii="Times New Roman" w:hAnsi="Times New Roman" w:cs="Times New Roman"/>
          <w:sz w:val="24"/>
          <w:szCs w:val="24"/>
        </w:rPr>
        <w:t xml:space="preserve">szabályozás </w:t>
      </w:r>
      <w:r w:rsidR="004F2784" w:rsidRPr="00413518">
        <w:rPr>
          <w:rFonts w:ascii="Times New Roman" w:hAnsi="Times New Roman" w:cs="Times New Roman"/>
          <w:sz w:val="24"/>
          <w:szCs w:val="24"/>
        </w:rPr>
        <w:t>legszélesebb skálája a környe</w:t>
      </w:r>
      <w:r w:rsidR="00BF3E07">
        <w:rPr>
          <w:rFonts w:ascii="Times New Roman" w:hAnsi="Times New Roman" w:cs="Times New Roman"/>
          <w:sz w:val="24"/>
          <w:szCs w:val="24"/>
        </w:rPr>
        <w:t>zetvédelmi gazdasági eszközök</w:t>
      </w:r>
      <w:r w:rsidR="004F2784" w:rsidRPr="00413518">
        <w:rPr>
          <w:rFonts w:ascii="Times New Roman" w:hAnsi="Times New Roman" w:cs="Times New Roman"/>
          <w:sz w:val="24"/>
          <w:szCs w:val="24"/>
        </w:rPr>
        <w:t xml:space="preserve">: (1) </w:t>
      </w:r>
      <w:r w:rsidR="000B5178">
        <w:rPr>
          <w:rFonts w:ascii="Times New Roman" w:hAnsi="Times New Roman" w:cs="Times New Roman"/>
          <w:sz w:val="24"/>
          <w:szCs w:val="24"/>
        </w:rPr>
        <w:t xml:space="preserve">az </w:t>
      </w:r>
      <w:r w:rsidR="004F2784" w:rsidRPr="00413518">
        <w:rPr>
          <w:rFonts w:ascii="Times New Roman" w:hAnsi="Times New Roman" w:cs="Times New Roman"/>
          <w:i/>
          <w:sz w:val="24"/>
          <w:szCs w:val="24"/>
        </w:rPr>
        <w:t>adó</w:t>
      </w:r>
      <w:r w:rsidR="004D47A7">
        <w:rPr>
          <w:rFonts w:ascii="Times New Roman" w:hAnsi="Times New Roman" w:cs="Times New Roman"/>
          <w:i/>
          <w:sz w:val="24"/>
          <w:szCs w:val="24"/>
        </w:rPr>
        <w:t>k</w:t>
      </w:r>
      <w:r w:rsidR="004F2784" w:rsidRPr="00413518">
        <w:rPr>
          <w:rFonts w:ascii="Times New Roman" w:hAnsi="Times New Roman" w:cs="Times New Roman"/>
          <w:i/>
          <w:sz w:val="24"/>
          <w:szCs w:val="24"/>
        </w:rPr>
        <w:t xml:space="preserve">, </w:t>
      </w:r>
      <w:r w:rsidR="004D47A7">
        <w:rPr>
          <w:rFonts w:ascii="Times New Roman" w:hAnsi="Times New Roman" w:cs="Times New Roman"/>
          <w:i/>
          <w:sz w:val="24"/>
          <w:szCs w:val="24"/>
        </w:rPr>
        <w:t xml:space="preserve">a </w:t>
      </w:r>
      <w:r w:rsidR="004F2784" w:rsidRPr="00413518">
        <w:rPr>
          <w:rFonts w:ascii="Times New Roman" w:hAnsi="Times New Roman" w:cs="Times New Roman"/>
          <w:i/>
          <w:sz w:val="24"/>
          <w:szCs w:val="24"/>
        </w:rPr>
        <w:t>díj</w:t>
      </w:r>
      <w:r w:rsidR="004D47A7">
        <w:rPr>
          <w:rFonts w:ascii="Times New Roman" w:hAnsi="Times New Roman" w:cs="Times New Roman"/>
          <w:i/>
          <w:sz w:val="24"/>
          <w:szCs w:val="24"/>
        </w:rPr>
        <w:t>ak</w:t>
      </w:r>
      <w:r w:rsidR="004F2784" w:rsidRPr="00413518">
        <w:rPr>
          <w:rFonts w:ascii="Times New Roman" w:hAnsi="Times New Roman" w:cs="Times New Roman"/>
          <w:i/>
          <w:sz w:val="24"/>
          <w:szCs w:val="24"/>
        </w:rPr>
        <w:t xml:space="preserve">, vagy </w:t>
      </w:r>
      <w:r w:rsidR="000B5178">
        <w:rPr>
          <w:rFonts w:ascii="Times New Roman" w:hAnsi="Times New Roman" w:cs="Times New Roman"/>
          <w:i/>
          <w:sz w:val="24"/>
          <w:szCs w:val="24"/>
        </w:rPr>
        <w:t xml:space="preserve">az </w:t>
      </w:r>
      <w:r w:rsidR="004F2784" w:rsidRPr="00413518">
        <w:rPr>
          <w:rFonts w:ascii="Times New Roman" w:hAnsi="Times New Roman" w:cs="Times New Roman"/>
          <w:i/>
          <w:sz w:val="24"/>
          <w:szCs w:val="24"/>
        </w:rPr>
        <w:t xml:space="preserve">egyéb közterhek, </w:t>
      </w:r>
      <w:r w:rsidR="004F2784" w:rsidRPr="00413518">
        <w:rPr>
          <w:rFonts w:ascii="Times New Roman" w:hAnsi="Times New Roman" w:cs="Times New Roman"/>
          <w:sz w:val="24"/>
          <w:szCs w:val="24"/>
        </w:rPr>
        <w:t xml:space="preserve">(2) </w:t>
      </w:r>
      <w:r w:rsidR="000B5178">
        <w:rPr>
          <w:rFonts w:ascii="Times New Roman" w:hAnsi="Times New Roman" w:cs="Times New Roman"/>
          <w:i/>
          <w:sz w:val="24"/>
          <w:szCs w:val="24"/>
        </w:rPr>
        <w:t xml:space="preserve">a </w:t>
      </w:r>
      <w:r w:rsidR="004F2784" w:rsidRPr="00413518">
        <w:rPr>
          <w:rFonts w:ascii="Times New Roman" w:hAnsi="Times New Roman" w:cs="Times New Roman"/>
          <w:i/>
          <w:sz w:val="24"/>
          <w:szCs w:val="24"/>
        </w:rPr>
        <w:t>támogatások</w:t>
      </w:r>
      <w:r w:rsidR="004F2784" w:rsidRPr="00413518">
        <w:rPr>
          <w:rFonts w:ascii="Times New Roman" w:hAnsi="Times New Roman" w:cs="Times New Roman"/>
          <w:sz w:val="24"/>
          <w:szCs w:val="24"/>
        </w:rPr>
        <w:t xml:space="preserve">, (3) </w:t>
      </w:r>
      <w:r w:rsidR="000B5178">
        <w:rPr>
          <w:rFonts w:ascii="Times New Roman" w:hAnsi="Times New Roman" w:cs="Times New Roman"/>
          <w:i/>
          <w:sz w:val="24"/>
          <w:szCs w:val="24"/>
        </w:rPr>
        <w:t xml:space="preserve">a </w:t>
      </w:r>
      <w:r w:rsidR="004F2784" w:rsidRPr="00413518">
        <w:rPr>
          <w:rFonts w:ascii="Times New Roman" w:hAnsi="Times New Roman" w:cs="Times New Roman"/>
          <w:i/>
          <w:sz w:val="24"/>
          <w:szCs w:val="24"/>
        </w:rPr>
        <w:t>piacteremtés</w:t>
      </w:r>
      <w:r w:rsidR="004F2784" w:rsidRPr="00413518">
        <w:rPr>
          <w:rFonts w:ascii="Times New Roman" w:hAnsi="Times New Roman" w:cs="Times New Roman"/>
          <w:sz w:val="24"/>
          <w:szCs w:val="24"/>
        </w:rPr>
        <w:t xml:space="preserve">. A szennyező azért részesülhet </w:t>
      </w:r>
      <w:r w:rsidR="004F2784" w:rsidRPr="00413518">
        <w:rPr>
          <w:rFonts w:ascii="Times New Roman" w:hAnsi="Times New Roman" w:cs="Times New Roman"/>
          <w:i/>
          <w:sz w:val="24"/>
          <w:szCs w:val="24"/>
        </w:rPr>
        <w:t xml:space="preserve">támogatásban, </w:t>
      </w:r>
      <w:r w:rsidR="004F2784" w:rsidRPr="00413518">
        <w:rPr>
          <w:rFonts w:ascii="Times New Roman" w:hAnsi="Times New Roman" w:cs="Times New Roman"/>
          <w:sz w:val="24"/>
          <w:szCs w:val="24"/>
        </w:rPr>
        <w:t>hogy szennyezés</w:t>
      </w:r>
      <w:r w:rsidR="004F323E">
        <w:rPr>
          <w:rFonts w:ascii="Times New Roman" w:hAnsi="Times New Roman" w:cs="Times New Roman"/>
          <w:sz w:val="24"/>
          <w:szCs w:val="24"/>
        </w:rPr>
        <w:t xml:space="preserve"> </w:t>
      </w:r>
      <w:r w:rsidR="004F2784" w:rsidRPr="00413518">
        <w:rPr>
          <w:rFonts w:ascii="Times New Roman" w:hAnsi="Times New Roman" w:cs="Times New Roman"/>
          <w:sz w:val="24"/>
          <w:szCs w:val="24"/>
        </w:rPr>
        <w:t xml:space="preserve">csökkentő intézkedéseket hajtson végre. </w:t>
      </w:r>
      <w:r w:rsidR="00E0629A" w:rsidRPr="00413518">
        <w:rPr>
          <w:rFonts w:ascii="Times New Roman" w:hAnsi="Times New Roman" w:cs="Times New Roman"/>
          <w:sz w:val="24"/>
          <w:szCs w:val="24"/>
        </w:rPr>
        <w:t xml:space="preserve">A következő eszköz a </w:t>
      </w:r>
      <w:r w:rsidR="00E0629A" w:rsidRPr="00413518">
        <w:rPr>
          <w:rFonts w:ascii="Times New Roman" w:hAnsi="Times New Roman" w:cs="Times New Roman"/>
          <w:i/>
          <w:sz w:val="24"/>
          <w:szCs w:val="24"/>
        </w:rPr>
        <w:t>piacteremtés</w:t>
      </w:r>
      <w:r w:rsidR="00E0629A" w:rsidRPr="00413518">
        <w:rPr>
          <w:rFonts w:ascii="Times New Roman" w:hAnsi="Times New Roman" w:cs="Times New Roman"/>
          <w:sz w:val="24"/>
          <w:szCs w:val="24"/>
        </w:rPr>
        <w:t xml:space="preserve">, amely az egyes piaci és hatósági eszközök kombinálását jelenti a környezetvédelmi célok elérése érdekében. </w:t>
      </w:r>
      <w:r w:rsidR="00BF3E07">
        <w:rPr>
          <w:rFonts w:ascii="Times New Roman" w:hAnsi="Times New Roman" w:cs="Times New Roman"/>
          <w:sz w:val="24"/>
          <w:szCs w:val="24"/>
        </w:rPr>
        <w:t xml:space="preserve">Ez a felosztás is az </w:t>
      </w:r>
      <w:r w:rsidR="00BF3E07" w:rsidRPr="00BF3E07">
        <w:rPr>
          <w:rFonts w:ascii="Times New Roman" w:hAnsi="Times New Roman" w:cs="Times New Roman"/>
          <w:i/>
          <w:sz w:val="24"/>
          <w:szCs w:val="24"/>
        </w:rPr>
        <w:t>adókat</w:t>
      </w:r>
      <w:r w:rsidR="000B5178">
        <w:rPr>
          <w:rFonts w:ascii="Times New Roman" w:hAnsi="Times New Roman" w:cs="Times New Roman"/>
          <w:sz w:val="24"/>
          <w:szCs w:val="24"/>
        </w:rPr>
        <w:t xml:space="preserve"> állítja az eszközök </w:t>
      </w:r>
      <w:r w:rsidR="00E23F1B">
        <w:rPr>
          <w:rFonts w:ascii="Times New Roman" w:hAnsi="Times New Roman" w:cs="Times New Roman"/>
          <w:sz w:val="24"/>
          <w:szCs w:val="24"/>
        </w:rPr>
        <w:t>középpontjába.</w:t>
      </w:r>
      <w:r w:rsidR="00752782">
        <w:rPr>
          <w:rFonts w:ascii="Times New Roman" w:hAnsi="Times New Roman" w:cs="Times New Roman"/>
          <w:sz w:val="24"/>
          <w:szCs w:val="24"/>
        </w:rPr>
        <w:tab/>
      </w:r>
      <w:r w:rsidR="00752782">
        <w:rPr>
          <w:rFonts w:ascii="Times New Roman" w:hAnsi="Times New Roman" w:cs="Times New Roman"/>
          <w:sz w:val="24"/>
          <w:szCs w:val="24"/>
        </w:rPr>
        <w:br/>
      </w:r>
      <w:r w:rsidR="00752782">
        <w:rPr>
          <w:rFonts w:ascii="Times New Roman" w:hAnsi="Times New Roman" w:cs="Times New Roman"/>
          <w:sz w:val="24"/>
          <w:szCs w:val="24"/>
        </w:rPr>
        <w:tab/>
      </w:r>
      <w:r w:rsidR="00A16516">
        <w:rPr>
          <w:rFonts w:ascii="Times New Roman" w:hAnsi="Times New Roman" w:cs="Times New Roman"/>
          <w:sz w:val="24"/>
          <w:szCs w:val="24"/>
        </w:rPr>
        <w:t xml:space="preserve">Az adók </w:t>
      </w:r>
      <w:r w:rsidR="00752782">
        <w:rPr>
          <w:rFonts w:ascii="Times New Roman" w:hAnsi="Times New Roman" w:cs="Times New Roman"/>
          <w:sz w:val="24"/>
          <w:szCs w:val="24"/>
        </w:rPr>
        <w:t xml:space="preserve">és az </w:t>
      </w:r>
      <w:r w:rsidR="00BF3E07">
        <w:rPr>
          <w:rFonts w:ascii="Times New Roman" w:hAnsi="Times New Roman" w:cs="Times New Roman"/>
          <w:sz w:val="24"/>
          <w:szCs w:val="24"/>
        </w:rPr>
        <w:t xml:space="preserve">egyéb befizetések </w:t>
      </w:r>
      <w:r w:rsidR="00752782">
        <w:rPr>
          <w:rFonts w:ascii="Times New Roman" w:hAnsi="Times New Roman" w:cs="Times New Roman"/>
          <w:sz w:val="24"/>
          <w:szCs w:val="24"/>
        </w:rPr>
        <w:t>képesek</w:t>
      </w:r>
      <w:r w:rsidR="00BF3E07">
        <w:rPr>
          <w:rFonts w:ascii="Times New Roman" w:hAnsi="Times New Roman" w:cs="Times New Roman"/>
          <w:sz w:val="24"/>
          <w:szCs w:val="24"/>
        </w:rPr>
        <w:t xml:space="preserve"> </w:t>
      </w:r>
      <w:r w:rsidR="00A16516">
        <w:rPr>
          <w:rFonts w:ascii="Times New Roman" w:hAnsi="Times New Roman" w:cs="Times New Roman"/>
          <w:sz w:val="24"/>
          <w:szCs w:val="24"/>
        </w:rPr>
        <w:t>a leghatékonyabban</w:t>
      </w:r>
      <w:r w:rsidR="00BF3E07">
        <w:rPr>
          <w:rFonts w:ascii="Times New Roman" w:hAnsi="Times New Roman" w:cs="Times New Roman"/>
          <w:sz w:val="24"/>
          <w:szCs w:val="24"/>
        </w:rPr>
        <w:t xml:space="preserve">– jelenlegi ismereteink és gyakorlati tapasztalataink szerint – a környezetvédelmi célkitűzések </w:t>
      </w:r>
      <w:r w:rsidR="00752782">
        <w:rPr>
          <w:rFonts w:ascii="Times New Roman" w:hAnsi="Times New Roman" w:cs="Times New Roman"/>
          <w:sz w:val="24"/>
          <w:szCs w:val="24"/>
        </w:rPr>
        <w:t>megvalósítására</w:t>
      </w:r>
      <w:r w:rsidR="00BF3E07">
        <w:rPr>
          <w:rFonts w:ascii="Times New Roman" w:hAnsi="Times New Roman" w:cs="Times New Roman"/>
          <w:sz w:val="24"/>
          <w:szCs w:val="24"/>
        </w:rPr>
        <w:t>.</w:t>
      </w:r>
      <w:r w:rsidR="00752782">
        <w:rPr>
          <w:rFonts w:ascii="Times New Roman" w:hAnsi="Times New Roman" w:cs="Times New Roman"/>
          <w:sz w:val="24"/>
          <w:szCs w:val="24"/>
        </w:rPr>
        <w:t xml:space="preserve"> Az adók befolyásolási és arányosítási funkciója a környezetvédelem </w:t>
      </w:r>
      <w:r w:rsidR="000B5178">
        <w:rPr>
          <w:rFonts w:ascii="Times New Roman" w:hAnsi="Times New Roman" w:cs="Times New Roman"/>
          <w:sz w:val="24"/>
          <w:szCs w:val="24"/>
        </w:rPr>
        <w:t>szolgálatába</w:t>
      </w:r>
      <w:r w:rsidR="00752782">
        <w:rPr>
          <w:rFonts w:ascii="Times New Roman" w:hAnsi="Times New Roman" w:cs="Times New Roman"/>
          <w:sz w:val="24"/>
          <w:szCs w:val="24"/>
        </w:rPr>
        <w:t xml:space="preserve"> állítható.</w:t>
      </w:r>
      <w:r w:rsidR="00752782">
        <w:rPr>
          <w:rStyle w:val="Lbjegyzet-hivatkozs"/>
          <w:sz w:val="24"/>
          <w:szCs w:val="24"/>
        </w:rPr>
        <w:footnoteReference w:id="17"/>
      </w:r>
      <w:r w:rsidR="00752782">
        <w:rPr>
          <w:rFonts w:ascii="Times New Roman" w:hAnsi="Times New Roman" w:cs="Times New Roman"/>
          <w:sz w:val="24"/>
          <w:szCs w:val="24"/>
        </w:rPr>
        <w:t xml:space="preserve"> A természetes környezet megóvásában és helyreállításában a társadalom minden szereplőjét fel kell</w:t>
      </w:r>
      <w:r w:rsidR="00A16516">
        <w:rPr>
          <w:rFonts w:ascii="Times New Roman" w:hAnsi="Times New Roman" w:cs="Times New Roman"/>
          <w:sz w:val="24"/>
          <w:szCs w:val="24"/>
        </w:rPr>
        <w:t xml:space="preserve"> sorakoztatni</w:t>
      </w:r>
      <w:r w:rsidR="00752782">
        <w:rPr>
          <w:rFonts w:ascii="Times New Roman" w:hAnsi="Times New Roman" w:cs="Times New Roman"/>
          <w:sz w:val="24"/>
          <w:szCs w:val="24"/>
        </w:rPr>
        <w:t>. Ezt pedig csakis az állam</w:t>
      </w:r>
      <w:r w:rsidR="004D47A7">
        <w:rPr>
          <w:rFonts w:ascii="Times New Roman" w:hAnsi="Times New Roman" w:cs="Times New Roman"/>
          <w:sz w:val="24"/>
          <w:szCs w:val="24"/>
        </w:rPr>
        <w:t>i – közvetlen – beavatkozás</w:t>
      </w:r>
      <w:r w:rsidR="00752782">
        <w:rPr>
          <w:rFonts w:ascii="Times New Roman" w:hAnsi="Times New Roman" w:cs="Times New Roman"/>
          <w:sz w:val="24"/>
          <w:szCs w:val="24"/>
        </w:rPr>
        <w:t xml:space="preserve"> útján tudja egy adott ország megvalósítani. Az állami kényszer az adókon keresztül kerül kifejezésre a társadalom irányába. Költség és árnövelő hatásuk révén a gazdaság szereplőinek környezettudatosabb magatartását is elősegítik</w:t>
      </w:r>
      <w:r w:rsidR="000B5178">
        <w:rPr>
          <w:rFonts w:ascii="Times New Roman" w:hAnsi="Times New Roman" w:cs="Times New Roman"/>
          <w:sz w:val="24"/>
          <w:szCs w:val="24"/>
        </w:rPr>
        <w:t>, kiváló ösztönzők.</w:t>
      </w:r>
      <w:r w:rsidR="00752782">
        <w:rPr>
          <w:rStyle w:val="Lbjegyzet-hivatkozs"/>
          <w:sz w:val="24"/>
          <w:szCs w:val="24"/>
        </w:rPr>
        <w:footnoteReference w:id="18"/>
      </w:r>
      <w:r w:rsidR="005E4D28">
        <w:rPr>
          <w:rFonts w:ascii="Times New Roman" w:hAnsi="Times New Roman" w:cs="Times New Roman"/>
          <w:sz w:val="24"/>
          <w:szCs w:val="24"/>
        </w:rPr>
        <w:t>Az energiaadót a széles adóalap, a stabil bevétel jellemzi és az ellenőrzése egyszerű. A környezeti szempontból a CO</w:t>
      </w:r>
      <w:r w:rsidR="005E4D28">
        <w:rPr>
          <w:rFonts w:ascii="Times New Roman" w:hAnsi="Times New Roman" w:cs="Times New Roman"/>
          <w:sz w:val="24"/>
          <w:szCs w:val="24"/>
          <w:vertAlign w:val="subscript"/>
        </w:rPr>
        <w:t>2</w:t>
      </w:r>
      <w:r w:rsidR="005E4D28">
        <w:rPr>
          <w:rFonts w:ascii="Times New Roman" w:hAnsi="Times New Roman" w:cs="Times New Roman"/>
          <w:sz w:val="24"/>
          <w:szCs w:val="24"/>
        </w:rPr>
        <w:t>-adó hatékonyabb, de az adóbevételek szempontjából az energiaadó kedvezőbb, mert az adóalap szétoszlik a gazdaságban.</w:t>
      </w:r>
      <w:r w:rsidR="005E4D28">
        <w:rPr>
          <w:rStyle w:val="Lbjegyzet-hivatkozs"/>
          <w:sz w:val="24"/>
          <w:szCs w:val="24"/>
        </w:rPr>
        <w:footnoteReference w:id="19"/>
      </w:r>
      <w:r w:rsidR="00A16516">
        <w:rPr>
          <w:rFonts w:ascii="Times New Roman" w:hAnsi="Times New Roman" w:cs="Times New Roman"/>
          <w:sz w:val="24"/>
          <w:szCs w:val="24"/>
        </w:rPr>
        <w:tab/>
      </w:r>
    </w:p>
    <w:p w:rsidR="000B5178" w:rsidRDefault="000B5178" w:rsidP="00BF1E2F">
      <w:pPr>
        <w:spacing w:line="360" w:lineRule="auto"/>
        <w:jc w:val="both"/>
        <w:rPr>
          <w:rStyle w:val="Kiemels"/>
          <w:rFonts w:ascii="Times New Roman" w:hAnsi="Times New Roman" w:cs="Times New Roman"/>
          <w:b w:val="0"/>
          <w:bCs w:val="0"/>
          <w:i w:val="0"/>
          <w:iCs w:val="0"/>
          <w:spacing w:val="0"/>
          <w:sz w:val="24"/>
          <w:szCs w:val="24"/>
        </w:rPr>
      </w:pPr>
    </w:p>
    <w:p w:rsidR="004D47A7" w:rsidRDefault="004D47A7" w:rsidP="00BF1E2F">
      <w:pPr>
        <w:spacing w:line="360" w:lineRule="auto"/>
        <w:jc w:val="both"/>
        <w:rPr>
          <w:rStyle w:val="Kiemels"/>
          <w:rFonts w:ascii="Times New Roman" w:hAnsi="Times New Roman" w:cs="Times New Roman"/>
          <w:b w:val="0"/>
          <w:bCs w:val="0"/>
          <w:i w:val="0"/>
          <w:iCs w:val="0"/>
          <w:spacing w:val="0"/>
          <w:sz w:val="24"/>
          <w:szCs w:val="24"/>
        </w:rPr>
      </w:pPr>
    </w:p>
    <w:p w:rsidR="00A16516" w:rsidRDefault="00A16516" w:rsidP="00BF1E2F">
      <w:pPr>
        <w:spacing w:line="360" w:lineRule="auto"/>
        <w:jc w:val="both"/>
        <w:rPr>
          <w:rStyle w:val="Kiemels"/>
          <w:rFonts w:ascii="Times New Roman" w:hAnsi="Times New Roman" w:cs="Times New Roman"/>
          <w:b w:val="0"/>
          <w:bCs w:val="0"/>
          <w:i w:val="0"/>
          <w:iCs w:val="0"/>
          <w:spacing w:val="0"/>
          <w:sz w:val="24"/>
          <w:szCs w:val="24"/>
        </w:rPr>
      </w:pPr>
    </w:p>
    <w:p w:rsidR="00BB44BE" w:rsidRDefault="00BB44BE" w:rsidP="00BB44BE">
      <w:pPr>
        <w:pStyle w:val="Cmsor1"/>
        <w:spacing w:line="360" w:lineRule="auto"/>
        <w:rPr>
          <w:rFonts w:ascii="Times New Roman" w:hAnsi="Times New Roman" w:cs="Times New Roman"/>
        </w:rPr>
      </w:pPr>
    </w:p>
    <w:p w:rsidR="004F323E" w:rsidRDefault="00497589" w:rsidP="0069191A">
      <w:pPr>
        <w:pStyle w:val="Cmsor1"/>
        <w:numPr>
          <w:ilvl w:val="0"/>
          <w:numId w:val="5"/>
        </w:numPr>
        <w:spacing w:line="360" w:lineRule="auto"/>
        <w:ind w:left="284" w:hanging="284"/>
        <w:rPr>
          <w:rFonts w:ascii="Times New Roman" w:hAnsi="Times New Roman" w:cs="Times New Roman"/>
        </w:rPr>
      </w:pPr>
      <w:bookmarkStart w:id="2" w:name="_GoBack"/>
      <w:r w:rsidRPr="00413518">
        <w:rPr>
          <w:rFonts w:ascii="Times New Roman" w:hAnsi="Times New Roman" w:cs="Times New Roman"/>
        </w:rPr>
        <w:lastRenderedPageBreak/>
        <w:t xml:space="preserve"> </w:t>
      </w:r>
      <w:bookmarkStart w:id="3" w:name="_Toc340927909"/>
      <w:r w:rsidR="00BF1E2F">
        <w:rPr>
          <w:rFonts w:ascii="Times New Roman" w:hAnsi="Times New Roman" w:cs="Times New Roman"/>
        </w:rPr>
        <w:t xml:space="preserve">AZ ENERGIAADÓ </w:t>
      </w:r>
      <w:r w:rsidR="00FD7D52" w:rsidRPr="00413518">
        <w:rPr>
          <w:rFonts w:ascii="Times New Roman" w:hAnsi="Times New Roman" w:cs="Times New Roman"/>
        </w:rPr>
        <w:t>FEJLŐDÉSTÖRTÉNETE</w:t>
      </w:r>
      <w:bookmarkEnd w:id="3"/>
    </w:p>
    <w:p w:rsidR="00FD7D52" w:rsidRPr="00BB44BE" w:rsidRDefault="004F323E" w:rsidP="00BB44BE">
      <w:pPr>
        <w:pStyle w:val="Cmsor2"/>
        <w:rPr>
          <w:rFonts w:ascii="Times New Roman" w:hAnsi="Times New Roman" w:cs="Times New Roman"/>
        </w:rPr>
      </w:pPr>
      <w:bookmarkStart w:id="4" w:name="_Toc340927910"/>
      <w:bookmarkEnd w:id="2"/>
      <w:r w:rsidRPr="00BB44BE">
        <w:rPr>
          <w:rFonts w:ascii="Times New Roman" w:hAnsi="Times New Roman" w:cs="Times New Roman"/>
        </w:rPr>
        <w:t>II.</w:t>
      </w:r>
      <w:r w:rsidR="00BB44BE" w:rsidRPr="00BB44BE">
        <w:rPr>
          <w:rFonts w:ascii="Times New Roman" w:hAnsi="Times New Roman" w:cs="Times New Roman"/>
        </w:rPr>
        <w:t xml:space="preserve"> </w:t>
      </w:r>
      <w:r w:rsidRPr="00BB44BE">
        <w:rPr>
          <w:rFonts w:ascii="Times New Roman" w:hAnsi="Times New Roman" w:cs="Times New Roman"/>
        </w:rPr>
        <w:t>1.</w:t>
      </w:r>
      <w:r w:rsidR="00BB44BE" w:rsidRPr="00BB44BE">
        <w:rPr>
          <w:rFonts w:ascii="Times New Roman" w:hAnsi="Times New Roman" w:cs="Times New Roman"/>
        </w:rPr>
        <w:t xml:space="preserve"> </w:t>
      </w:r>
      <w:r w:rsidRPr="00BB44BE">
        <w:rPr>
          <w:rFonts w:ascii="Times New Roman" w:hAnsi="Times New Roman" w:cs="Times New Roman"/>
        </w:rPr>
        <w:t>Az irányelv előtti éra</w:t>
      </w:r>
      <w:bookmarkEnd w:id="4"/>
      <w:r w:rsidR="002956E6" w:rsidRPr="00BB44BE">
        <w:rPr>
          <w:rFonts w:ascii="Times New Roman" w:hAnsi="Times New Roman" w:cs="Times New Roman"/>
        </w:rPr>
        <w:br/>
      </w:r>
    </w:p>
    <w:p w:rsidR="004E7F80" w:rsidRDefault="00FD7D52" w:rsidP="004E7F80">
      <w:pPr>
        <w:spacing w:line="360" w:lineRule="auto"/>
        <w:ind w:firstLine="705"/>
        <w:jc w:val="both"/>
        <w:rPr>
          <w:rFonts w:ascii="Times New Roman" w:hAnsi="Times New Roman" w:cs="Times New Roman"/>
          <w:sz w:val="24"/>
          <w:szCs w:val="24"/>
        </w:rPr>
      </w:pPr>
      <w:r w:rsidRPr="00413518">
        <w:rPr>
          <w:rFonts w:ascii="Times New Roman" w:hAnsi="Times New Roman" w:cs="Times New Roman"/>
          <w:sz w:val="24"/>
          <w:szCs w:val="24"/>
        </w:rPr>
        <w:t>Az ipar az emberiség történelmében mindig is kulcsfontosságú szerepet</w:t>
      </w:r>
      <w:r w:rsidR="00A16516">
        <w:rPr>
          <w:rFonts w:ascii="Times New Roman" w:hAnsi="Times New Roman" w:cs="Times New Roman"/>
          <w:sz w:val="24"/>
          <w:szCs w:val="24"/>
        </w:rPr>
        <w:t xml:space="preserve"> játszott. Az ipari forradal</w:t>
      </w:r>
      <w:r w:rsidRPr="00413518">
        <w:rPr>
          <w:rFonts w:ascii="Times New Roman" w:hAnsi="Times New Roman" w:cs="Times New Roman"/>
          <w:sz w:val="24"/>
          <w:szCs w:val="24"/>
        </w:rPr>
        <w:t>m</w:t>
      </w:r>
      <w:r w:rsidR="00A16516">
        <w:rPr>
          <w:rFonts w:ascii="Times New Roman" w:hAnsi="Times New Roman" w:cs="Times New Roman"/>
          <w:sz w:val="24"/>
          <w:szCs w:val="24"/>
        </w:rPr>
        <w:t>ak</w:t>
      </w:r>
      <w:r w:rsidRPr="00413518">
        <w:rPr>
          <w:rFonts w:ascii="Times New Roman" w:hAnsi="Times New Roman" w:cs="Times New Roman"/>
          <w:sz w:val="24"/>
          <w:szCs w:val="24"/>
        </w:rPr>
        <w:t xml:space="preserve"> kapcsán nemcsak Európában, hanem az egész világon megindult a technikai és technológiai fejlődés, amely a XXI. században jelentős mértékbe</w:t>
      </w:r>
      <w:r w:rsidR="00A16516">
        <w:rPr>
          <w:rFonts w:ascii="Times New Roman" w:hAnsi="Times New Roman" w:cs="Times New Roman"/>
          <w:sz w:val="24"/>
          <w:szCs w:val="24"/>
        </w:rPr>
        <w:t xml:space="preserve">n felerősödött. A folyamat </w:t>
      </w:r>
      <w:r w:rsidRPr="00413518">
        <w:rPr>
          <w:rFonts w:ascii="Times New Roman" w:hAnsi="Times New Roman" w:cs="Times New Roman"/>
          <w:sz w:val="24"/>
          <w:szCs w:val="24"/>
        </w:rPr>
        <w:t>rendkívül ko</w:t>
      </w:r>
      <w:r w:rsidR="00A16516">
        <w:rPr>
          <w:rFonts w:ascii="Times New Roman" w:hAnsi="Times New Roman" w:cs="Times New Roman"/>
          <w:sz w:val="24"/>
          <w:szCs w:val="24"/>
        </w:rPr>
        <w:t>mplex:</w:t>
      </w:r>
      <w:r w:rsidR="00A16516">
        <w:rPr>
          <w:rFonts w:ascii="Times New Roman" w:hAnsi="Times New Roman" w:cs="Times New Roman"/>
          <w:sz w:val="24"/>
          <w:szCs w:val="24"/>
        </w:rPr>
        <w:tab/>
      </w:r>
      <w:r w:rsidR="00A16516">
        <w:rPr>
          <w:rFonts w:ascii="Times New Roman" w:hAnsi="Times New Roman" w:cs="Times New Roman"/>
          <w:sz w:val="24"/>
          <w:szCs w:val="24"/>
        </w:rPr>
        <w:br/>
      </w:r>
      <w:r w:rsidR="00A16516">
        <w:rPr>
          <w:rFonts w:ascii="Times New Roman" w:hAnsi="Times New Roman" w:cs="Times New Roman"/>
          <w:sz w:val="24"/>
          <w:szCs w:val="24"/>
        </w:rPr>
        <w:tab/>
        <w:t>(1) igény a fejlődésre,</w:t>
      </w:r>
      <w:r w:rsidR="00A16516">
        <w:rPr>
          <w:rFonts w:ascii="Times New Roman" w:hAnsi="Times New Roman" w:cs="Times New Roman"/>
          <w:sz w:val="24"/>
          <w:szCs w:val="24"/>
        </w:rPr>
        <w:tab/>
      </w:r>
      <w:r w:rsidR="00A16516">
        <w:rPr>
          <w:rFonts w:ascii="Times New Roman" w:hAnsi="Times New Roman" w:cs="Times New Roman"/>
          <w:sz w:val="24"/>
          <w:szCs w:val="24"/>
        </w:rPr>
        <w:br/>
      </w:r>
      <w:r w:rsidR="00A16516">
        <w:rPr>
          <w:rFonts w:ascii="Times New Roman" w:hAnsi="Times New Roman" w:cs="Times New Roman"/>
          <w:sz w:val="24"/>
          <w:szCs w:val="24"/>
        </w:rPr>
        <w:tab/>
      </w:r>
      <w:r w:rsidRPr="00413518">
        <w:rPr>
          <w:rFonts w:ascii="Times New Roman" w:hAnsi="Times New Roman" w:cs="Times New Roman"/>
          <w:sz w:val="24"/>
          <w:szCs w:val="24"/>
        </w:rPr>
        <w:t>(2) eg</w:t>
      </w:r>
      <w:r w:rsidR="00A16516">
        <w:rPr>
          <w:rFonts w:ascii="Times New Roman" w:hAnsi="Times New Roman" w:cs="Times New Roman"/>
          <w:sz w:val="24"/>
          <w:szCs w:val="24"/>
        </w:rPr>
        <w:t>yre csak fokozódó energiaéhség,</w:t>
      </w:r>
      <w:r w:rsidR="00A16516">
        <w:rPr>
          <w:rFonts w:ascii="Times New Roman" w:hAnsi="Times New Roman" w:cs="Times New Roman"/>
          <w:sz w:val="24"/>
          <w:szCs w:val="24"/>
        </w:rPr>
        <w:tab/>
      </w:r>
      <w:r w:rsidR="00A16516">
        <w:rPr>
          <w:rFonts w:ascii="Times New Roman" w:hAnsi="Times New Roman" w:cs="Times New Roman"/>
          <w:sz w:val="24"/>
          <w:szCs w:val="24"/>
        </w:rPr>
        <w:br/>
      </w:r>
      <w:r w:rsidR="00A16516">
        <w:rPr>
          <w:rFonts w:ascii="Times New Roman" w:hAnsi="Times New Roman" w:cs="Times New Roman"/>
          <w:sz w:val="24"/>
          <w:szCs w:val="24"/>
        </w:rPr>
        <w:tab/>
      </w:r>
      <w:r w:rsidRPr="00413518">
        <w:rPr>
          <w:rFonts w:ascii="Times New Roman" w:hAnsi="Times New Roman" w:cs="Times New Roman"/>
          <w:sz w:val="24"/>
          <w:szCs w:val="24"/>
        </w:rPr>
        <w:t>(3</w:t>
      </w:r>
      <w:r w:rsidR="00A16516">
        <w:rPr>
          <w:rFonts w:ascii="Times New Roman" w:hAnsi="Times New Roman" w:cs="Times New Roman"/>
          <w:sz w:val="24"/>
          <w:szCs w:val="24"/>
        </w:rPr>
        <w:t>) jelentős környezet károsítás.</w:t>
      </w:r>
      <w:r w:rsidR="00A16516">
        <w:rPr>
          <w:rFonts w:ascii="Times New Roman" w:hAnsi="Times New Roman" w:cs="Times New Roman"/>
          <w:sz w:val="24"/>
          <w:szCs w:val="24"/>
        </w:rPr>
        <w:tab/>
      </w:r>
      <w:r w:rsidR="00A16516">
        <w:rPr>
          <w:rFonts w:ascii="Times New Roman" w:hAnsi="Times New Roman" w:cs="Times New Roman"/>
          <w:sz w:val="24"/>
          <w:szCs w:val="24"/>
        </w:rPr>
        <w:br/>
      </w:r>
      <w:r w:rsidRPr="00413518">
        <w:rPr>
          <w:rFonts w:ascii="Times New Roman" w:hAnsi="Times New Roman" w:cs="Times New Roman"/>
          <w:sz w:val="24"/>
          <w:szCs w:val="24"/>
        </w:rPr>
        <w:t xml:space="preserve">Ennek a hármasnak a koordinálására találták ki a manapság divatos kifejezést, a </w:t>
      </w:r>
      <w:r w:rsidRPr="00C51CD8">
        <w:rPr>
          <w:rFonts w:ascii="Times New Roman" w:hAnsi="Times New Roman" w:cs="Times New Roman"/>
          <w:i/>
          <w:sz w:val="24"/>
          <w:szCs w:val="24"/>
        </w:rPr>
        <w:t>fenntartható fejlődés</w:t>
      </w:r>
      <w:r w:rsidRPr="00413518">
        <w:rPr>
          <w:rStyle w:val="Lbjegyzet-hivatkozs"/>
          <w:sz w:val="24"/>
          <w:szCs w:val="24"/>
        </w:rPr>
        <w:footnoteReference w:id="20"/>
      </w:r>
      <w:r w:rsidRPr="00413518">
        <w:rPr>
          <w:rFonts w:ascii="Times New Roman" w:hAnsi="Times New Roman" w:cs="Times New Roman"/>
          <w:sz w:val="24"/>
          <w:szCs w:val="24"/>
        </w:rPr>
        <w:t xml:space="preserve"> fogalm</w:t>
      </w:r>
      <w:r w:rsidR="00A16516">
        <w:rPr>
          <w:rFonts w:ascii="Times New Roman" w:hAnsi="Times New Roman" w:cs="Times New Roman"/>
          <w:sz w:val="24"/>
          <w:szCs w:val="24"/>
        </w:rPr>
        <w:t>át, amely a</w:t>
      </w:r>
      <w:r w:rsidRPr="00413518">
        <w:rPr>
          <w:rFonts w:ascii="Times New Roman" w:hAnsi="Times New Roman" w:cs="Times New Roman"/>
          <w:sz w:val="24"/>
          <w:szCs w:val="24"/>
        </w:rPr>
        <w:t xml:space="preserve"> körn</w:t>
      </w:r>
      <w:r w:rsidR="004A06B5">
        <w:rPr>
          <w:rFonts w:ascii="Times New Roman" w:hAnsi="Times New Roman" w:cs="Times New Roman"/>
          <w:sz w:val="24"/>
          <w:szCs w:val="24"/>
        </w:rPr>
        <w:t xml:space="preserve">yezet terhelésének </w:t>
      </w:r>
      <w:r w:rsidR="00A16516">
        <w:rPr>
          <w:rFonts w:ascii="Times New Roman" w:hAnsi="Times New Roman" w:cs="Times New Roman"/>
          <w:sz w:val="24"/>
          <w:szCs w:val="24"/>
        </w:rPr>
        <w:t xml:space="preserve">a </w:t>
      </w:r>
      <w:r w:rsidR="004A06B5">
        <w:rPr>
          <w:rFonts w:ascii="Times New Roman" w:hAnsi="Times New Roman" w:cs="Times New Roman"/>
          <w:sz w:val="24"/>
          <w:szCs w:val="24"/>
        </w:rPr>
        <w:t>növekedését</w:t>
      </w:r>
      <w:r w:rsidR="00A16516">
        <w:rPr>
          <w:rFonts w:ascii="Times New Roman" w:hAnsi="Times New Roman" w:cs="Times New Roman"/>
          <w:sz w:val="24"/>
          <w:szCs w:val="24"/>
        </w:rPr>
        <w:t xml:space="preserve"> hivatott meggátolni</w:t>
      </w:r>
      <w:r w:rsidR="004A06B5">
        <w:rPr>
          <w:rFonts w:ascii="Times New Roman" w:hAnsi="Times New Roman" w:cs="Times New Roman"/>
          <w:sz w:val="24"/>
          <w:szCs w:val="24"/>
        </w:rPr>
        <w:t xml:space="preserve">. </w:t>
      </w:r>
      <w:r w:rsidRPr="00413518">
        <w:rPr>
          <w:rFonts w:ascii="Times New Roman" w:hAnsi="Times New Roman" w:cs="Times New Roman"/>
          <w:sz w:val="24"/>
          <w:szCs w:val="24"/>
        </w:rPr>
        <w:t>A problémák kezelés</w:t>
      </w:r>
      <w:r w:rsidR="00E11D64">
        <w:rPr>
          <w:rFonts w:ascii="Times New Roman" w:hAnsi="Times New Roman" w:cs="Times New Roman"/>
          <w:sz w:val="24"/>
          <w:szCs w:val="24"/>
        </w:rPr>
        <w:t>é</w:t>
      </w:r>
      <w:r w:rsidRPr="00413518">
        <w:rPr>
          <w:rFonts w:ascii="Times New Roman" w:hAnsi="Times New Roman" w:cs="Times New Roman"/>
          <w:sz w:val="24"/>
          <w:szCs w:val="24"/>
        </w:rPr>
        <w:t xml:space="preserve">re nemcsak a civil szférának kell felkészülnie, hanem a közszférának is, </w:t>
      </w:r>
      <w:r w:rsidR="00FE5CDC">
        <w:rPr>
          <w:rFonts w:ascii="Times New Roman" w:hAnsi="Times New Roman" w:cs="Times New Roman"/>
          <w:sz w:val="24"/>
          <w:szCs w:val="24"/>
        </w:rPr>
        <w:t xml:space="preserve">ahol a legjelentősebb szabályozó alany </w:t>
      </w:r>
      <w:r w:rsidRPr="00413518">
        <w:rPr>
          <w:rFonts w:ascii="Times New Roman" w:hAnsi="Times New Roman" w:cs="Times New Roman"/>
          <w:sz w:val="24"/>
          <w:szCs w:val="24"/>
        </w:rPr>
        <w:t xml:space="preserve">az állam. </w:t>
      </w:r>
      <w:r w:rsidR="00E11D64">
        <w:rPr>
          <w:rFonts w:ascii="Times New Roman" w:hAnsi="Times New Roman" w:cs="Times New Roman"/>
          <w:sz w:val="24"/>
          <w:szCs w:val="24"/>
        </w:rPr>
        <w:t xml:space="preserve">Szupranacionális szinten </w:t>
      </w:r>
      <w:r w:rsidR="00FE5CDC">
        <w:rPr>
          <w:rFonts w:ascii="Times New Roman" w:hAnsi="Times New Roman" w:cs="Times New Roman"/>
          <w:sz w:val="24"/>
          <w:szCs w:val="24"/>
        </w:rPr>
        <w:t>kiemelkedőek</w:t>
      </w:r>
      <w:r w:rsidR="00E11D64">
        <w:rPr>
          <w:rFonts w:ascii="Times New Roman" w:hAnsi="Times New Roman" w:cs="Times New Roman"/>
          <w:sz w:val="24"/>
          <w:szCs w:val="24"/>
        </w:rPr>
        <w:t xml:space="preserve"> </w:t>
      </w:r>
      <w:r w:rsidRPr="00413518">
        <w:rPr>
          <w:rFonts w:ascii="Times New Roman" w:hAnsi="Times New Roman" w:cs="Times New Roman"/>
          <w:sz w:val="24"/>
          <w:szCs w:val="24"/>
        </w:rPr>
        <w:t>az egyes környezetvédelmi tárgyú konferenciák</w:t>
      </w:r>
      <w:r w:rsidRPr="00413518">
        <w:rPr>
          <w:rStyle w:val="Lbjegyzet-hivatkozs"/>
          <w:sz w:val="24"/>
          <w:szCs w:val="24"/>
        </w:rPr>
        <w:footnoteReference w:id="21"/>
      </w:r>
      <w:r w:rsidR="008D0498">
        <w:rPr>
          <w:rFonts w:ascii="Times New Roman" w:hAnsi="Times New Roman" w:cs="Times New Roman"/>
          <w:sz w:val="24"/>
          <w:szCs w:val="24"/>
        </w:rPr>
        <w:t>,</w:t>
      </w:r>
      <w:r w:rsidRPr="00413518">
        <w:rPr>
          <w:rFonts w:ascii="Times New Roman" w:hAnsi="Times New Roman" w:cs="Times New Roman"/>
          <w:sz w:val="24"/>
          <w:szCs w:val="24"/>
        </w:rPr>
        <w:t xml:space="preserve"> nemzetközi szervezete</w:t>
      </w:r>
      <w:r w:rsidR="00E11D64">
        <w:rPr>
          <w:rFonts w:ascii="Times New Roman" w:hAnsi="Times New Roman" w:cs="Times New Roman"/>
          <w:sz w:val="24"/>
          <w:szCs w:val="24"/>
        </w:rPr>
        <w:t>k</w:t>
      </w:r>
      <w:r w:rsidRPr="00413518">
        <w:rPr>
          <w:rStyle w:val="Lbjegyzet-hivatkozs"/>
          <w:sz w:val="24"/>
          <w:szCs w:val="24"/>
        </w:rPr>
        <w:footnoteReference w:id="22"/>
      </w:r>
      <w:r w:rsidR="00E11D64">
        <w:rPr>
          <w:rFonts w:ascii="Times New Roman" w:hAnsi="Times New Roman" w:cs="Times New Roman"/>
          <w:sz w:val="24"/>
          <w:szCs w:val="24"/>
        </w:rPr>
        <w:t xml:space="preserve">, és </w:t>
      </w:r>
      <w:r w:rsidRPr="00413518">
        <w:rPr>
          <w:rFonts w:ascii="Times New Roman" w:hAnsi="Times New Roman" w:cs="Times New Roman"/>
          <w:sz w:val="24"/>
          <w:szCs w:val="24"/>
        </w:rPr>
        <w:t>az Európai Unió</w:t>
      </w:r>
      <w:r w:rsidRPr="00413518">
        <w:rPr>
          <w:rStyle w:val="Lbjegyzet-hivatkozs"/>
          <w:sz w:val="24"/>
          <w:szCs w:val="24"/>
        </w:rPr>
        <w:footnoteReference w:id="23"/>
      </w:r>
      <w:r w:rsidR="007D10B3">
        <w:rPr>
          <w:rFonts w:ascii="Times New Roman" w:hAnsi="Times New Roman" w:cs="Times New Roman"/>
          <w:sz w:val="24"/>
          <w:szCs w:val="24"/>
        </w:rPr>
        <w:t xml:space="preserve">. </w:t>
      </w:r>
      <w:r w:rsidRPr="00413518">
        <w:rPr>
          <w:rFonts w:ascii="Times New Roman" w:hAnsi="Times New Roman" w:cs="Times New Roman"/>
          <w:sz w:val="24"/>
          <w:szCs w:val="24"/>
        </w:rPr>
        <w:t xml:space="preserve">Az államnak fel kell készülnie a problémák megoldására, </w:t>
      </w:r>
      <w:r w:rsidR="007D10B3">
        <w:rPr>
          <w:rFonts w:ascii="Times New Roman" w:hAnsi="Times New Roman" w:cs="Times New Roman"/>
          <w:sz w:val="24"/>
          <w:szCs w:val="24"/>
        </w:rPr>
        <w:t>erre pedig a</w:t>
      </w:r>
      <w:r w:rsidRPr="00413518">
        <w:rPr>
          <w:rFonts w:ascii="Times New Roman" w:hAnsi="Times New Roman" w:cs="Times New Roman"/>
          <w:sz w:val="24"/>
          <w:szCs w:val="24"/>
        </w:rPr>
        <w:t xml:space="preserve"> </w:t>
      </w:r>
      <w:r w:rsidR="00503A16" w:rsidRPr="00413518">
        <w:rPr>
          <w:rFonts w:ascii="Times New Roman" w:hAnsi="Times New Roman" w:cs="Times New Roman"/>
          <w:sz w:val="24"/>
          <w:szCs w:val="24"/>
        </w:rPr>
        <w:t xml:space="preserve">környezetvédelmi adók </w:t>
      </w:r>
      <w:r w:rsidRPr="00413518">
        <w:rPr>
          <w:rFonts w:ascii="Times New Roman" w:hAnsi="Times New Roman" w:cs="Times New Roman"/>
          <w:sz w:val="24"/>
          <w:szCs w:val="24"/>
        </w:rPr>
        <w:t xml:space="preserve">mutatkoznak </w:t>
      </w:r>
      <w:r w:rsidR="004B3313">
        <w:rPr>
          <w:rFonts w:ascii="Times New Roman" w:hAnsi="Times New Roman" w:cs="Times New Roman"/>
          <w:sz w:val="24"/>
          <w:szCs w:val="24"/>
        </w:rPr>
        <w:t>a szakirodalom</w:t>
      </w:r>
      <w:r w:rsidRPr="00413518">
        <w:rPr>
          <w:rFonts w:ascii="Times New Roman" w:hAnsi="Times New Roman" w:cs="Times New Roman"/>
          <w:sz w:val="24"/>
          <w:szCs w:val="24"/>
        </w:rPr>
        <w:t xml:space="preserve"> szerint a</w:t>
      </w:r>
      <w:r w:rsidR="004B3313">
        <w:rPr>
          <w:rFonts w:ascii="Times New Roman" w:hAnsi="Times New Roman" w:cs="Times New Roman"/>
          <w:sz w:val="24"/>
          <w:szCs w:val="24"/>
        </w:rPr>
        <w:t>z egyik</w:t>
      </w:r>
      <w:r w:rsidRPr="00413518">
        <w:rPr>
          <w:rFonts w:ascii="Times New Roman" w:hAnsi="Times New Roman" w:cs="Times New Roman"/>
          <w:sz w:val="24"/>
          <w:szCs w:val="24"/>
        </w:rPr>
        <w:t xml:space="preserve"> leghatékonyabb szabályozó eszközöknek, amelyek lehető</w:t>
      </w:r>
      <w:r w:rsidR="00460FDE">
        <w:rPr>
          <w:rFonts w:ascii="Times New Roman" w:hAnsi="Times New Roman" w:cs="Times New Roman"/>
          <w:sz w:val="24"/>
          <w:szCs w:val="24"/>
        </w:rPr>
        <w:t>vé teszik a környezet védelmét.</w:t>
      </w:r>
      <w:r w:rsidR="00E11D64">
        <w:rPr>
          <w:rFonts w:ascii="Times New Roman" w:hAnsi="Times New Roman" w:cs="Times New Roman"/>
          <w:sz w:val="24"/>
          <w:szCs w:val="24"/>
        </w:rPr>
        <w:tab/>
      </w:r>
      <w:r w:rsidR="00CF6C74" w:rsidRPr="00413518">
        <w:rPr>
          <w:rFonts w:ascii="Times New Roman" w:hAnsi="Times New Roman" w:cs="Times New Roman"/>
          <w:sz w:val="24"/>
          <w:szCs w:val="24"/>
        </w:rPr>
        <w:br/>
      </w:r>
      <w:r w:rsidR="00CB0E0C" w:rsidRPr="00413518">
        <w:rPr>
          <w:rFonts w:ascii="Times New Roman" w:hAnsi="Times New Roman" w:cs="Times New Roman"/>
          <w:sz w:val="24"/>
          <w:szCs w:val="24"/>
        </w:rPr>
        <w:tab/>
      </w:r>
      <w:r w:rsidR="00CF6C74" w:rsidRPr="00413518">
        <w:rPr>
          <w:rFonts w:ascii="Times New Roman" w:hAnsi="Times New Roman" w:cs="Times New Roman"/>
          <w:sz w:val="24"/>
          <w:szCs w:val="24"/>
        </w:rPr>
        <w:t>Több mint egy évtizeden keresztül tartottak azok a tárgyalások, amelyek eredményeként kialakult az energiatermékek adóztatására szolgáló keretjellegű szabályozás. A tagállamok nehezen tudtak kompromisszumot kötni egymással, de a 2000-es években a</w:t>
      </w:r>
      <w:r w:rsidR="004B3313">
        <w:rPr>
          <w:rFonts w:ascii="Times New Roman" w:hAnsi="Times New Roman" w:cs="Times New Roman"/>
          <w:sz w:val="24"/>
          <w:szCs w:val="24"/>
        </w:rPr>
        <w:t>z új</w:t>
      </w:r>
      <w:r w:rsidR="00CF6C74" w:rsidRPr="00413518">
        <w:rPr>
          <w:rFonts w:ascii="Times New Roman" w:hAnsi="Times New Roman" w:cs="Times New Roman"/>
          <w:sz w:val="24"/>
          <w:szCs w:val="24"/>
        </w:rPr>
        <w:t xml:space="preserve"> </w:t>
      </w:r>
      <w:r w:rsidR="004B3313">
        <w:rPr>
          <w:rFonts w:ascii="Times New Roman" w:hAnsi="Times New Roman" w:cs="Times New Roman"/>
          <w:sz w:val="24"/>
          <w:szCs w:val="24"/>
        </w:rPr>
        <w:t>tagok felvétele</w:t>
      </w:r>
      <w:r w:rsidR="00CF6C74" w:rsidRPr="00413518">
        <w:rPr>
          <w:rFonts w:ascii="Times New Roman" w:hAnsi="Times New Roman" w:cs="Times New Roman"/>
          <w:sz w:val="24"/>
          <w:szCs w:val="24"/>
        </w:rPr>
        <w:t xml:space="preserve"> kapcsán rájöttek, hogy kénytelenek megállapodást kötni. Ennek eredménye a 2003/96/EK tanácsi irányelv. A tárgyalások során </w:t>
      </w:r>
      <w:r w:rsidR="007D10B3">
        <w:rPr>
          <w:rFonts w:ascii="Times New Roman" w:hAnsi="Times New Roman" w:cs="Times New Roman"/>
          <w:sz w:val="24"/>
          <w:szCs w:val="24"/>
        </w:rPr>
        <w:t xml:space="preserve">számos vitás kérdés merült fel </w:t>
      </w:r>
      <w:r w:rsidR="007D10B3" w:rsidRPr="00413518">
        <w:rPr>
          <w:rFonts w:ascii="Times New Roman" w:hAnsi="Times New Roman" w:cs="Times New Roman"/>
          <w:sz w:val="24"/>
          <w:szCs w:val="24"/>
        </w:rPr>
        <w:t>úgy,</w:t>
      </w:r>
      <w:r w:rsidR="00CF6C74" w:rsidRPr="00413518">
        <w:rPr>
          <w:rFonts w:ascii="Times New Roman" w:hAnsi="Times New Roman" w:cs="Times New Roman"/>
          <w:sz w:val="24"/>
          <w:szCs w:val="24"/>
        </w:rPr>
        <w:t xml:space="preserve"> mint:</w:t>
      </w:r>
      <w:r w:rsidR="00E11D64">
        <w:rPr>
          <w:rFonts w:ascii="Times New Roman" w:hAnsi="Times New Roman" w:cs="Times New Roman"/>
          <w:sz w:val="24"/>
          <w:szCs w:val="24"/>
        </w:rPr>
        <w:tab/>
      </w:r>
      <w:r w:rsidR="00CF6C74" w:rsidRPr="00413518">
        <w:rPr>
          <w:rFonts w:ascii="Times New Roman" w:hAnsi="Times New Roman" w:cs="Times New Roman"/>
          <w:sz w:val="24"/>
          <w:szCs w:val="24"/>
        </w:rPr>
        <w:t xml:space="preserve">(1) ha központilag meghatároznak egy minimum adómértéket lehetőség van-e az </w:t>
      </w:r>
      <w:r w:rsidR="00E11D64">
        <w:rPr>
          <w:rFonts w:ascii="Times New Roman" w:hAnsi="Times New Roman" w:cs="Times New Roman"/>
          <w:sz w:val="24"/>
          <w:szCs w:val="24"/>
        </w:rPr>
        <w:lastRenderedPageBreak/>
        <w:tab/>
      </w:r>
      <w:r w:rsidR="00CF6C74" w:rsidRPr="00413518">
        <w:rPr>
          <w:rFonts w:ascii="Times New Roman" w:hAnsi="Times New Roman" w:cs="Times New Roman"/>
          <w:sz w:val="24"/>
          <w:szCs w:val="24"/>
        </w:rPr>
        <w:t xml:space="preserve">egyes tagállamokban ettől eltérni, mégpedig negatív irányba; </w:t>
      </w:r>
      <w:r w:rsidR="00E11D64">
        <w:rPr>
          <w:rFonts w:ascii="Times New Roman" w:hAnsi="Times New Roman" w:cs="Times New Roman"/>
          <w:sz w:val="24"/>
          <w:szCs w:val="24"/>
        </w:rPr>
        <w:tab/>
      </w:r>
      <w:r w:rsidR="00E11D64">
        <w:rPr>
          <w:rFonts w:ascii="Times New Roman" w:hAnsi="Times New Roman" w:cs="Times New Roman"/>
          <w:sz w:val="24"/>
          <w:szCs w:val="24"/>
        </w:rPr>
        <w:br/>
      </w:r>
      <w:r w:rsidR="00E11D64">
        <w:rPr>
          <w:rFonts w:ascii="Times New Roman" w:hAnsi="Times New Roman" w:cs="Times New Roman"/>
          <w:sz w:val="24"/>
          <w:szCs w:val="24"/>
        </w:rPr>
        <w:tab/>
      </w:r>
      <w:r w:rsidR="00CF6C74" w:rsidRPr="00413518">
        <w:rPr>
          <w:rFonts w:ascii="Times New Roman" w:hAnsi="Times New Roman" w:cs="Times New Roman"/>
          <w:sz w:val="24"/>
          <w:szCs w:val="24"/>
        </w:rPr>
        <w:t xml:space="preserve">(2) lehet-e bizonyos szektoroknak adókedvezményt biztosítani; </w:t>
      </w:r>
      <w:r w:rsidR="00E11D64">
        <w:rPr>
          <w:rFonts w:ascii="Times New Roman" w:hAnsi="Times New Roman" w:cs="Times New Roman"/>
          <w:sz w:val="24"/>
          <w:szCs w:val="24"/>
        </w:rPr>
        <w:tab/>
      </w:r>
      <w:r w:rsidR="00E11D64">
        <w:rPr>
          <w:rFonts w:ascii="Times New Roman" w:hAnsi="Times New Roman" w:cs="Times New Roman"/>
          <w:sz w:val="24"/>
          <w:szCs w:val="24"/>
        </w:rPr>
        <w:br/>
      </w:r>
      <w:r w:rsidR="00E11D64">
        <w:rPr>
          <w:rFonts w:ascii="Times New Roman" w:hAnsi="Times New Roman" w:cs="Times New Roman"/>
          <w:sz w:val="24"/>
          <w:szCs w:val="24"/>
        </w:rPr>
        <w:tab/>
      </w:r>
      <w:r w:rsidR="00CF6C74" w:rsidRPr="00413518">
        <w:rPr>
          <w:rFonts w:ascii="Times New Roman" w:hAnsi="Times New Roman" w:cs="Times New Roman"/>
          <w:sz w:val="24"/>
          <w:szCs w:val="24"/>
        </w:rPr>
        <w:t>(3) a</w:t>
      </w:r>
      <w:r w:rsidR="00E23F1B">
        <w:rPr>
          <w:rFonts w:ascii="Times New Roman" w:hAnsi="Times New Roman" w:cs="Times New Roman"/>
          <w:sz w:val="24"/>
          <w:szCs w:val="24"/>
        </w:rPr>
        <w:t xml:space="preserve"> dízel üzemanyag megadóztatása.</w:t>
      </w:r>
      <w:r w:rsidR="00E11D64">
        <w:rPr>
          <w:rFonts w:ascii="Times New Roman" w:hAnsi="Times New Roman" w:cs="Times New Roman"/>
          <w:sz w:val="24"/>
          <w:szCs w:val="24"/>
        </w:rPr>
        <w:tab/>
      </w:r>
      <w:r w:rsidR="00E11D64">
        <w:rPr>
          <w:rFonts w:ascii="Times New Roman" w:hAnsi="Times New Roman" w:cs="Times New Roman"/>
          <w:sz w:val="24"/>
          <w:szCs w:val="24"/>
        </w:rPr>
        <w:br/>
      </w:r>
      <w:r w:rsidR="00CF6C74" w:rsidRPr="00413518">
        <w:rPr>
          <w:rFonts w:ascii="Times New Roman" w:hAnsi="Times New Roman" w:cs="Times New Roman"/>
          <w:sz w:val="24"/>
          <w:szCs w:val="24"/>
        </w:rPr>
        <w:t>A 2003 á</w:t>
      </w:r>
      <w:r w:rsidR="004B3313">
        <w:rPr>
          <w:rFonts w:ascii="Times New Roman" w:hAnsi="Times New Roman" w:cs="Times New Roman"/>
          <w:sz w:val="24"/>
          <w:szCs w:val="24"/>
        </w:rPr>
        <w:t>prilisában megalkotott irányelvnek vannak</w:t>
      </w:r>
      <w:r w:rsidR="00CF6C74" w:rsidRPr="00413518">
        <w:rPr>
          <w:rFonts w:ascii="Times New Roman" w:hAnsi="Times New Roman" w:cs="Times New Roman"/>
          <w:sz w:val="24"/>
          <w:szCs w:val="24"/>
        </w:rPr>
        <w:t xml:space="preserve"> </w:t>
      </w:r>
      <w:r w:rsidR="004B3313">
        <w:rPr>
          <w:rFonts w:ascii="Times New Roman" w:hAnsi="Times New Roman" w:cs="Times New Roman"/>
          <w:sz w:val="24"/>
          <w:szCs w:val="24"/>
        </w:rPr>
        <w:t>pozitív és negatív aspektusai</w:t>
      </w:r>
      <w:r w:rsidR="00CF6C74" w:rsidRPr="00413518">
        <w:rPr>
          <w:rFonts w:ascii="Times New Roman" w:hAnsi="Times New Roman" w:cs="Times New Roman"/>
          <w:sz w:val="24"/>
          <w:szCs w:val="24"/>
        </w:rPr>
        <w:t xml:space="preserve">. Egyrészt </w:t>
      </w:r>
      <w:r w:rsidR="004B3313">
        <w:rPr>
          <w:rFonts w:ascii="Times New Roman" w:hAnsi="Times New Roman" w:cs="Times New Roman"/>
          <w:sz w:val="24"/>
          <w:szCs w:val="24"/>
        </w:rPr>
        <w:t>pozitív</w:t>
      </w:r>
      <w:r w:rsidR="00CF6C74" w:rsidRPr="00413518">
        <w:rPr>
          <w:rFonts w:ascii="Times New Roman" w:hAnsi="Times New Roman" w:cs="Times New Roman"/>
          <w:sz w:val="24"/>
          <w:szCs w:val="24"/>
        </w:rPr>
        <w:t>, hiszen az országok közös nevezőre jutottak</w:t>
      </w:r>
      <w:r w:rsidR="004B3313">
        <w:rPr>
          <w:rFonts w:ascii="Times New Roman" w:hAnsi="Times New Roman" w:cs="Times New Roman"/>
          <w:sz w:val="24"/>
          <w:szCs w:val="24"/>
        </w:rPr>
        <w:t xml:space="preserve">. </w:t>
      </w:r>
      <w:r w:rsidR="008D0498">
        <w:rPr>
          <w:rFonts w:ascii="Times New Roman" w:hAnsi="Times New Roman" w:cs="Times New Roman"/>
          <w:sz w:val="24"/>
          <w:szCs w:val="24"/>
        </w:rPr>
        <w:t xml:space="preserve">Másrészről </w:t>
      </w:r>
      <w:r w:rsidR="00E11D64">
        <w:rPr>
          <w:rFonts w:ascii="Times New Roman" w:hAnsi="Times New Roman" w:cs="Times New Roman"/>
          <w:sz w:val="24"/>
          <w:szCs w:val="24"/>
        </w:rPr>
        <w:t>negatív</w:t>
      </w:r>
      <w:r w:rsidR="004B3313">
        <w:rPr>
          <w:rFonts w:ascii="Times New Roman" w:hAnsi="Times New Roman" w:cs="Times New Roman"/>
          <w:sz w:val="24"/>
          <w:szCs w:val="24"/>
        </w:rPr>
        <w:t>,</w:t>
      </w:r>
      <w:r w:rsidR="00E11D64">
        <w:rPr>
          <w:rFonts w:ascii="Times New Roman" w:hAnsi="Times New Roman" w:cs="Times New Roman"/>
          <w:sz w:val="24"/>
          <w:szCs w:val="24"/>
        </w:rPr>
        <w:t xml:space="preserve"> hiszen </w:t>
      </w:r>
      <w:r w:rsidR="00CF6C74" w:rsidRPr="00413518">
        <w:rPr>
          <w:rFonts w:ascii="Times New Roman" w:hAnsi="Times New Roman" w:cs="Times New Roman"/>
          <w:sz w:val="24"/>
          <w:szCs w:val="24"/>
        </w:rPr>
        <w:t xml:space="preserve">egy nagyon alacsony adóminimumot határoz meg és </w:t>
      </w:r>
      <w:r w:rsidR="004B3313">
        <w:rPr>
          <w:rFonts w:ascii="Times New Roman" w:hAnsi="Times New Roman" w:cs="Times New Roman"/>
          <w:sz w:val="24"/>
          <w:szCs w:val="24"/>
        </w:rPr>
        <w:t xml:space="preserve">a </w:t>
      </w:r>
      <w:r w:rsidR="00CF6C74" w:rsidRPr="00413518">
        <w:rPr>
          <w:rFonts w:ascii="Times New Roman" w:hAnsi="Times New Roman" w:cs="Times New Roman"/>
          <w:sz w:val="24"/>
          <w:szCs w:val="24"/>
        </w:rPr>
        <w:t>kivételek</w:t>
      </w:r>
      <w:r w:rsidR="00CF6C74" w:rsidRPr="00413518">
        <w:rPr>
          <w:rStyle w:val="Lbjegyzet-hivatkozs"/>
          <w:sz w:val="24"/>
          <w:szCs w:val="24"/>
        </w:rPr>
        <w:footnoteReference w:id="24"/>
      </w:r>
      <w:r w:rsidR="004B3313">
        <w:rPr>
          <w:rFonts w:ascii="Times New Roman" w:hAnsi="Times New Roman" w:cs="Times New Roman"/>
          <w:sz w:val="24"/>
          <w:szCs w:val="24"/>
        </w:rPr>
        <w:t xml:space="preserve"> hosszú listáját tartalmazza.</w:t>
      </w:r>
      <w:r w:rsidR="004B3313">
        <w:rPr>
          <w:rFonts w:ascii="Times New Roman" w:hAnsi="Times New Roman" w:cs="Times New Roman"/>
          <w:sz w:val="24"/>
          <w:szCs w:val="24"/>
        </w:rPr>
        <w:tab/>
      </w:r>
      <w:r w:rsidR="008D0498">
        <w:rPr>
          <w:rFonts w:ascii="Times New Roman" w:hAnsi="Times New Roman" w:cs="Times New Roman"/>
          <w:sz w:val="24"/>
          <w:szCs w:val="24"/>
        </w:rPr>
        <w:br/>
      </w:r>
      <w:r w:rsidR="008D0498">
        <w:rPr>
          <w:rFonts w:ascii="Times New Roman" w:hAnsi="Times New Roman" w:cs="Times New Roman"/>
          <w:sz w:val="24"/>
          <w:szCs w:val="24"/>
        </w:rPr>
        <w:tab/>
      </w:r>
      <w:r w:rsidR="00CF6C74" w:rsidRPr="00413518">
        <w:rPr>
          <w:rFonts w:ascii="Times New Roman" w:hAnsi="Times New Roman" w:cs="Times New Roman"/>
          <w:sz w:val="24"/>
          <w:szCs w:val="24"/>
        </w:rPr>
        <w:t xml:space="preserve">A viták a ’90-es években kezdődtek az energiaadó körül, mivel fiskális ügy, egyetértésre </w:t>
      </w:r>
      <w:r w:rsidR="00E11D64">
        <w:rPr>
          <w:rFonts w:ascii="Times New Roman" w:hAnsi="Times New Roman" w:cs="Times New Roman"/>
          <w:sz w:val="24"/>
          <w:szCs w:val="24"/>
        </w:rPr>
        <w:t>volt</w:t>
      </w:r>
      <w:r w:rsidR="00CF6C74" w:rsidRPr="00413518">
        <w:rPr>
          <w:rFonts w:ascii="Times New Roman" w:hAnsi="Times New Roman" w:cs="Times New Roman"/>
          <w:sz w:val="24"/>
          <w:szCs w:val="24"/>
        </w:rPr>
        <w:t xml:space="preserve"> szükség, amely nehezen születethetett meg akkoriban, hiszen Európa déli orszá</w:t>
      </w:r>
      <w:r w:rsidR="001871C9">
        <w:rPr>
          <w:rFonts w:ascii="Times New Roman" w:hAnsi="Times New Roman" w:cs="Times New Roman"/>
          <w:sz w:val="24"/>
          <w:szCs w:val="24"/>
        </w:rPr>
        <w:t xml:space="preserve">gai </w:t>
      </w:r>
      <w:r w:rsidR="004B3313">
        <w:rPr>
          <w:rFonts w:ascii="Times New Roman" w:hAnsi="Times New Roman" w:cs="Times New Roman"/>
          <w:sz w:val="24"/>
          <w:szCs w:val="24"/>
        </w:rPr>
        <w:t xml:space="preserve">– az északiakkal ellentétben - </w:t>
      </w:r>
      <w:r w:rsidR="001871C9">
        <w:rPr>
          <w:rFonts w:ascii="Times New Roman" w:hAnsi="Times New Roman" w:cs="Times New Roman"/>
          <w:sz w:val="24"/>
          <w:szCs w:val="24"/>
        </w:rPr>
        <w:t>kevésbe környezettudatosa</w:t>
      </w:r>
      <w:r w:rsidR="00CF6C74" w:rsidRPr="00413518">
        <w:rPr>
          <w:rFonts w:ascii="Times New Roman" w:hAnsi="Times New Roman" w:cs="Times New Roman"/>
          <w:sz w:val="24"/>
          <w:szCs w:val="24"/>
        </w:rPr>
        <w:t>k</w:t>
      </w:r>
      <w:r w:rsidR="004B3313">
        <w:rPr>
          <w:rFonts w:ascii="Times New Roman" w:hAnsi="Times New Roman" w:cs="Times New Roman"/>
          <w:sz w:val="24"/>
          <w:szCs w:val="24"/>
        </w:rPr>
        <w:t xml:space="preserve"> és gazdasági érdekeik is eltérőek, emellett </w:t>
      </w:r>
      <w:r w:rsidR="00CF6C74" w:rsidRPr="00413518">
        <w:rPr>
          <w:rFonts w:ascii="Times New Roman" w:hAnsi="Times New Roman" w:cs="Times New Roman"/>
          <w:sz w:val="24"/>
          <w:szCs w:val="24"/>
        </w:rPr>
        <w:t>az északi országok gyorsabb előrehaladást is szerettek volna, főleg Németország és Hollandia</w:t>
      </w:r>
      <w:r w:rsidR="00CF6C74" w:rsidRPr="00413518">
        <w:rPr>
          <w:rStyle w:val="Lbjegyzet-hivatkozs"/>
          <w:sz w:val="24"/>
          <w:szCs w:val="24"/>
        </w:rPr>
        <w:footnoteReference w:id="25"/>
      </w:r>
      <w:r w:rsidR="008D0498">
        <w:rPr>
          <w:rFonts w:ascii="Times New Roman" w:hAnsi="Times New Roman" w:cs="Times New Roman"/>
          <w:sz w:val="24"/>
          <w:szCs w:val="24"/>
        </w:rPr>
        <w:t xml:space="preserve">. </w:t>
      </w:r>
      <w:r w:rsidR="00CF6C74" w:rsidRPr="00413518">
        <w:rPr>
          <w:rFonts w:ascii="Times New Roman" w:hAnsi="Times New Roman" w:cs="Times New Roman"/>
          <w:sz w:val="24"/>
          <w:szCs w:val="24"/>
        </w:rPr>
        <w:t>A közös cél elérése érdekében a Bizottságnak és az E</w:t>
      </w:r>
      <w:r w:rsidR="00A5160D" w:rsidRPr="00413518">
        <w:rPr>
          <w:rFonts w:ascii="Times New Roman" w:hAnsi="Times New Roman" w:cs="Times New Roman"/>
          <w:sz w:val="24"/>
          <w:szCs w:val="24"/>
        </w:rPr>
        <w:t xml:space="preserve">urópai Parlamentnek keményebben </w:t>
      </w:r>
      <w:r w:rsidR="00CF6C74" w:rsidRPr="00413518">
        <w:rPr>
          <w:rFonts w:ascii="Times New Roman" w:hAnsi="Times New Roman" w:cs="Times New Roman"/>
          <w:sz w:val="24"/>
          <w:szCs w:val="24"/>
        </w:rPr>
        <w:t>kellett küzdenie. A szabályozás történetében az első lépést a Bizottság tette meg, az 1992-</w:t>
      </w:r>
      <w:r w:rsidR="00E11D64">
        <w:rPr>
          <w:rFonts w:ascii="Times New Roman" w:hAnsi="Times New Roman" w:cs="Times New Roman"/>
          <w:sz w:val="24"/>
          <w:szCs w:val="24"/>
        </w:rPr>
        <w:t>e</w:t>
      </w:r>
      <w:r w:rsidR="00CF6C74" w:rsidRPr="00413518">
        <w:rPr>
          <w:rFonts w:ascii="Times New Roman" w:hAnsi="Times New Roman" w:cs="Times New Roman"/>
          <w:sz w:val="24"/>
          <w:szCs w:val="24"/>
        </w:rPr>
        <w:t>s energia/CO</w:t>
      </w:r>
      <w:r w:rsidR="00CF6C74" w:rsidRPr="001871C9">
        <w:rPr>
          <w:rFonts w:ascii="Times New Roman" w:hAnsi="Times New Roman" w:cs="Times New Roman"/>
          <w:sz w:val="24"/>
          <w:szCs w:val="24"/>
          <w:vertAlign w:val="subscript"/>
        </w:rPr>
        <w:t>2</w:t>
      </w:r>
      <w:r w:rsidR="00CF6C74" w:rsidRPr="00413518">
        <w:rPr>
          <w:rFonts w:ascii="Times New Roman" w:hAnsi="Times New Roman" w:cs="Times New Roman"/>
          <w:sz w:val="24"/>
          <w:szCs w:val="24"/>
        </w:rPr>
        <w:t xml:space="preserve"> adózási javaslattal, amelyet a riói konferencia hatására alkottak meg. Annak ellenére, hogy a tagállamok megállapodtak abban, hogy a klímaváltozással szemben a javaslat szerinti adónem al</w:t>
      </w:r>
      <w:r w:rsidR="00E11D64">
        <w:rPr>
          <w:rFonts w:ascii="Times New Roman" w:hAnsi="Times New Roman" w:cs="Times New Roman"/>
          <w:sz w:val="24"/>
          <w:szCs w:val="24"/>
        </w:rPr>
        <w:t xml:space="preserve">kalmas eszköz, mégsem született </w:t>
      </w:r>
      <w:r w:rsidR="00CF6C74" w:rsidRPr="00413518">
        <w:rPr>
          <w:rFonts w:ascii="Times New Roman" w:hAnsi="Times New Roman" w:cs="Times New Roman"/>
          <w:sz w:val="24"/>
          <w:szCs w:val="24"/>
        </w:rPr>
        <w:t>megállapodás</w:t>
      </w:r>
      <w:r w:rsidR="00CF6C74" w:rsidRPr="00413518">
        <w:rPr>
          <w:rStyle w:val="Lbjegyzet-hivatkozs"/>
          <w:sz w:val="24"/>
          <w:szCs w:val="24"/>
        </w:rPr>
        <w:footnoteReference w:id="26"/>
      </w:r>
      <w:r w:rsidR="00CF6C74" w:rsidRPr="00413518">
        <w:rPr>
          <w:rFonts w:ascii="Times New Roman" w:hAnsi="Times New Roman" w:cs="Times New Roman"/>
          <w:sz w:val="24"/>
          <w:szCs w:val="24"/>
        </w:rPr>
        <w:t>. A javaslatot és a módosított változatát 1994-ben ismét elutasította számos akkori tagállam, annak ellenére, hogy az akkori Európai Közösségek egységesen terjesztették elő, nem volt meg az egyetértés.</w:t>
      </w:r>
      <w:r w:rsidR="00CF6C74" w:rsidRPr="00413518">
        <w:rPr>
          <w:rStyle w:val="Lbjegyzet-hivatkozs"/>
          <w:sz w:val="24"/>
          <w:szCs w:val="24"/>
        </w:rPr>
        <w:footnoteReference w:id="27"/>
      </w:r>
      <w:r w:rsidR="00CF6C74" w:rsidRPr="00413518">
        <w:rPr>
          <w:rFonts w:ascii="Times New Roman" w:hAnsi="Times New Roman" w:cs="Times New Roman"/>
          <w:sz w:val="24"/>
          <w:szCs w:val="24"/>
        </w:rPr>
        <w:t xml:space="preserve"> Három évre az eredeti javaslat után </w:t>
      </w:r>
      <w:r w:rsidR="00E11D64">
        <w:rPr>
          <w:rFonts w:ascii="Times New Roman" w:hAnsi="Times New Roman" w:cs="Times New Roman"/>
          <w:sz w:val="24"/>
          <w:szCs w:val="24"/>
        </w:rPr>
        <w:t>azt tervezték</w:t>
      </w:r>
      <w:r w:rsidR="00CF6C74" w:rsidRPr="00413518">
        <w:rPr>
          <w:rFonts w:ascii="Times New Roman" w:hAnsi="Times New Roman" w:cs="Times New Roman"/>
          <w:sz w:val="24"/>
          <w:szCs w:val="24"/>
        </w:rPr>
        <w:t xml:space="preserve">, hogy </w:t>
      </w:r>
      <w:r w:rsidR="00E11D64">
        <w:rPr>
          <w:rFonts w:ascii="Times New Roman" w:hAnsi="Times New Roman" w:cs="Times New Roman"/>
          <w:sz w:val="24"/>
          <w:szCs w:val="24"/>
        </w:rPr>
        <w:t xml:space="preserve">a </w:t>
      </w:r>
      <w:r w:rsidR="00E11D64" w:rsidRPr="00413518">
        <w:rPr>
          <w:rFonts w:ascii="Times New Roman" w:hAnsi="Times New Roman" w:cs="Times New Roman"/>
          <w:sz w:val="24"/>
          <w:szCs w:val="24"/>
        </w:rPr>
        <w:t>klímavál</w:t>
      </w:r>
      <w:r w:rsidR="00E11D64">
        <w:rPr>
          <w:rFonts w:ascii="Times New Roman" w:hAnsi="Times New Roman" w:cs="Times New Roman"/>
          <w:sz w:val="24"/>
          <w:szCs w:val="24"/>
        </w:rPr>
        <w:t>tozás elleni harc jegyében</w:t>
      </w:r>
      <w:r w:rsidR="00E11D64" w:rsidRPr="00413518">
        <w:rPr>
          <w:rFonts w:ascii="Times New Roman" w:hAnsi="Times New Roman" w:cs="Times New Roman"/>
          <w:sz w:val="24"/>
          <w:szCs w:val="24"/>
        </w:rPr>
        <w:t xml:space="preserve"> </w:t>
      </w:r>
      <w:r w:rsidR="00CF6C74" w:rsidRPr="00413518">
        <w:rPr>
          <w:rFonts w:ascii="Times New Roman" w:hAnsi="Times New Roman" w:cs="Times New Roman"/>
          <w:sz w:val="24"/>
          <w:szCs w:val="24"/>
        </w:rPr>
        <w:t>2000-ig minden ország vezesse be a szénadót, vagy CO</w:t>
      </w:r>
      <w:r w:rsidR="00CF6C74" w:rsidRPr="001871C9">
        <w:rPr>
          <w:rFonts w:ascii="Times New Roman" w:hAnsi="Times New Roman" w:cs="Times New Roman"/>
          <w:sz w:val="24"/>
          <w:szCs w:val="24"/>
          <w:vertAlign w:val="subscript"/>
        </w:rPr>
        <w:t>2</w:t>
      </w:r>
      <w:r w:rsidR="00CF6C74" w:rsidRPr="00413518">
        <w:rPr>
          <w:rFonts w:ascii="Times New Roman" w:hAnsi="Times New Roman" w:cs="Times New Roman"/>
          <w:sz w:val="24"/>
          <w:szCs w:val="24"/>
        </w:rPr>
        <w:t xml:space="preserve"> – adót</w:t>
      </w:r>
      <w:r w:rsidR="00E11D64">
        <w:rPr>
          <w:rFonts w:ascii="Times New Roman" w:hAnsi="Times New Roman" w:cs="Times New Roman"/>
          <w:sz w:val="24"/>
          <w:szCs w:val="24"/>
        </w:rPr>
        <w:t xml:space="preserve">. </w:t>
      </w:r>
      <w:r w:rsidR="00CF6C74" w:rsidRPr="00413518">
        <w:rPr>
          <w:rFonts w:ascii="Times New Roman" w:hAnsi="Times New Roman" w:cs="Times New Roman"/>
          <w:sz w:val="24"/>
          <w:szCs w:val="24"/>
        </w:rPr>
        <w:t>1995-ig jól látható, hogy a gyakorlat két 1992-ből származó irányelv felújítására törekszik</w:t>
      </w:r>
      <w:r w:rsidR="00CF6C74" w:rsidRPr="00413518">
        <w:rPr>
          <w:rStyle w:val="Lbjegyzet-hivatkozs"/>
          <w:sz w:val="24"/>
          <w:szCs w:val="24"/>
        </w:rPr>
        <w:footnoteReference w:id="28"/>
      </w:r>
      <w:r w:rsidR="00460FDE">
        <w:rPr>
          <w:rFonts w:ascii="Times New Roman" w:hAnsi="Times New Roman" w:cs="Times New Roman"/>
          <w:sz w:val="24"/>
          <w:szCs w:val="24"/>
        </w:rPr>
        <w:t>.</w:t>
      </w:r>
      <w:r w:rsidR="00CF6C74" w:rsidRPr="00413518">
        <w:rPr>
          <w:rFonts w:ascii="Times New Roman" w:hAnsi="Times New Roman" w:cs="Times New Roman"/>
          <w:sz w:val="24"/>
          <w:szCs w:val="24"/>
        </w:rPr>
        <w:tab/>
      </w:r>
      <w:r w:rsidR="008D0498">
        <w:rPr>
          <w:rFonts w:ascii="Times New Roman" w:hAnsi="Times New Roman" w:cs="Times New Roman"/>
          <w:sz w:val="24"/>
          <w:szCs w:val="24"/>
        </w:rPr>
        <w:br/>
      </w:r>
      <w:r w:rsidR="008D0498">
        <w:rPr>
          <w:rFonts w:ascii="Times New Roman" w:hAnsi="Times New Roman" w:cs="Times New Roman"/>
          <w:sz w:val="24"/>
          <w:szCs w:val="24"/>
        </w:rPr>
        <w:tab/>
      </w:r>
      <w:r w:rsidR="00CF6C74" w:rsidRPr="00413518">
        <w:rPr>
          <w:rFonts w:ascii="Times New Roman" w:hAnsi="Times New Roman" w:cs="Times New Roman"/>
          <w:sz w:val="24"/>
          <w:szCs w:val="24"/>
        </w:rPr>
        <w:t xml:space="preserve">1997-ben </w:t>
      </w:r>
      <w:r w:rsidR="00FE5CDC">
        <w:rPr>
          <w:rFonts w:ascii="Times New Roman" w:hAnsi="Times New Roman" w:cs="Times New Roman"/>
          <w:sz w:val="24"/>
          <w:szCs w:val="24"/>
        </w:rPr>
        <w:t xml:space="preserve">megalkották </w:t>
      </w:r>
      <w:r w:rsidR="00CF6C74" w:rsidRPr="00413518">
        <w:rPr>
          <w:rFonts w:ascii="Times New Roman" w:hAnsi="Times New Roman" w:cs="Times New Roman"/>
          <w:sz w:val="24"/>
          <w:szCs w:val="24"/>
        </w:rPr>
        <w:t xml:space="preserve">az ún. </w:t>
      </w:r>
      <w:r w:rsidR="00CF6C74" w:rsidRPr="00413518">
        <w:rPr>
          <w:rFonts w:ascii="Times New Roman" w:hAnsi="Times New Roman" w:cs="Times New Roman"/>
          <w:i/>
          <w:sz w:val="24"/>
          <w:szCs w:val="24"/>
        </w:rPr>
        <w:t>Monti – javaslat</w:t>
      </w:r>
      <w:r w:rsidR="00FE5CDC">
        <w:rPr>
          <w:rFonts w:ascii="Times New Roman" w:hAnsi="Times New Roman" w:cs="Times New Roman"/>
          <w:i/>
          <w:sz w:val="24"/>
          <w:szCs w:val="24"/>
        </w:rPr>
        <w:t>ot</w:t>
      </w:r>
      <w:r w:rsidR="00CF6C74" w:rsidRPr="00413518">
        <w:rPr>
          <w:rStyle w:val="Lbjegyzet-hivatkozs"/>
          <w:sz w:val="24"/>
          <w:szCs w:val="24"/>
        </w:rPr>
        <w:footnoteReference w:id="29"/>
      </w:r>
      <w:r w:rsidR="00FE5CDC">
        <w:rPr>
          <w:rFonts w:ascii="Times New Roman" w:hAnsi="Times New Roman" w:cs="Times New Roman"/>
          <w:sz w:val="24"/>
          <w:szCs w:val="24"/>
        </w:rPr>
        <w:t>, amely az 1</w:t>
      </w:r>
      <w:r w:rsidR="00CF6C74" w:rsidRPr="00413518">
        <w:rPr>
          <w:rFonts w:ascii="Times New Roman" w:hAnsi="Times New Roman" w:cs="Times New Roman"/>
          <w:sz w:val="24"/>
          <w:szCs w:val="24"/>
        </w:rPr>
        <w:t xml:space="preserve">992-es </w:t>
      </w:r>
      <w:r w:rsidR="00FE5CDC">
        <w:rPr>
          <w:rFonts w:ascii="Times New Roman" w:hAnsi="Times New Roman" w:cs="Times New Roman"/>
          <w:sz w:val="24"/>
          <w:szCs w:val="24"/>
        </w:rPr>
        <w:t xml:space="preserve">elődjéhez képest </w:t>
      </w:r>
      <w:r w:rsidR="00CF6C74" w:rsidRPr="00413518">
        <w:rPr>
          <w:rFonts w:ascii="Times New Roman" w:hAnsi="Times New Roman" w:cs="Times New Roman"/>
          <w:sz w:val="24"/>
          <w:szCs w:val="24"/>
        </w:rPr>
        <w:t xml:space="preserve">korántsem volt olyan ambiciózus, de </w:t>
      </w:r>
      <w:r w:rsidR="001871C9">
        <w:rPr>
          <w:rFonts w:ascii="Times New Roman" w:hAnsi="Times New Roman" w:cs="Times New Roman"/>
          <w:sz w:val="24"/>
          <w:szCs w:val="24"/>
        </w:rPr>
        <w:t xml:space="preserve">a tagállamok </w:t>
      </w:r>
      <w:r w:rsidR="00FE5CDC">
        <w:rPr>
          <w:rFonts w:ascii="Times New Roman" w:hAnsi="Times New Roman" w:cs="Times New Roman"/>
          <w:sz w:val="24"/>
          <w:szCs w:val="24"/>
        </w:rPr>
        <w:t>ugyanolyan merev ellenállásba ütközött. R</w:t>
      </w:r>
      <w:r w:rsidR="00CF6C74" w:rsidRPr="00413518">
        <w:rPr>
          <w:rFonts w:ascii="Times New Roman" w:hAnsi="Times New Roman" w:cs="Times New Roman"/>
          <w:sz w:val="24"/>
          <w:szCs w:val="24"/>
        </w:rPr>
        <w:t>ávilágít arra, hogy az 1992-es két irány</w:t>
      </w:r>
      <w:r w:rsidR="00FE5CDC">
        <w:rPr>
          <w:rFonts w:ascii="Times New Roman" w:hAnsi="Times New Roman" w:cs="Times New Roman"/>
          <w:sz w:val="24"/>
          <w:szCs w:val="24"/>
        </w:rPr>
        <w:t xml:space="preserve">elv szabályozása elavult. A dokumentum a </w:t>
      </w:r>
      <w:r w:rsidR="00CF6C74" w:rsidRPr="00413518">
        <w:rPr>
          <w:rFonts w:ascii="Times New Roman" w:hAnsi="Times New Roman" w:cs="Times New Roman"/>
          <w:sz w:val="24"/>
          <w:szCs w:val="24"/>
        </w:rPr>
        <w:t>direktív</w:t>
      </w:r>
      <w:r w:rsidR="00FE5CDC">
        <w:rPr>
          <w:rFonts w:ascii="Times New Roman" w:hAnsi="Times New Roman" w:cs="Times New Roman"/>
          <w:sz w:val="24"/>
          <w:szCs w:val="24"/>
        </w:rPr>
        <w:t>ák</w:t>
      </w:r>
      <w:r w:rsidR="00CF6C74" w:rsidRPr="00413518">
        <w:rPr>
          <w:rFonts w:ascii="Times New Roman" w:hAnsi="Times New Roman" w:cs="Times New Roman"/>
          <w:sz w:val="24"/>
          <w:szCs w:val="24"/>
        </w:rPr>
        <w:t xml:space="preserve"> hatáskörét </w:t>
      </w:r>
      <w:r w:rsidR="001871C9">
        <w:rPr>
          <w:rFonts w:ascii="Times New Roman" w:hAnsi="Times New Roman" w:cs="Times New Roman"/>
          <w:sz w:val="24"/>
          <w:szCs w:val="24"/>
        </w:rPr>
        <w:t>kiterjesztette</w:t>
      </w:r>
      <w:r w:rsidR="00FE5CDC">
        <w:rPr>
          <w:rFonts w:ascii="Times New Roman" w:hAnsi="Times New Roman" w:cs="Times New Roman"/>
          <w:sz w:val="24"/>
          <w:szCs w:val="24"/>
        </w:rPr>
        <w:t xml:space="preserve"> </w:t>
      </w:r>
      <w:r w:rsidR="00CF6C74" w:rsidRPr="00413518">
        <w:rPr>
          <w:rFonts w:ascii="Times New Roman" w:hAnsi="Times New Roman" w:cs="Times New Roman"/>
          <w:sz w:val="24"/>
          <w:szCs w:val="24"/>
        </w:rPr>
        <w:t>valamennyi energiahordozóra és minimális adórátát állapított meg ezekre a termékek</w:t>
      </w:r>
      <w:r w:rsidR="000F30B4">
        <w:rPr>
          <w:rFonts w:ascii="Times New Roman" w:hAnsi="Times New Roman" w:cs="Times New Roman"/>
          <w:sz w:val="24"/>
          <w:szCs w:val="24"/>
        </w:rPr>
        <w:t>re. Előírta, hogy az energiaadó</w:t>
      </w:r>
      <w:r w:rsidR="00CF6C74" w:rsidRPr="00413518">
        <w:rPr>
          <w:rFonts w:ascii="Times New Roman" w:hAnsi="Times New Roman" w:cs="Times New Roman"/>
          <w:sz w:val="24"/>
          <w:szCs w:val="24"/>
        </w:rPr>
        <w:t xml:space="preserve">t lehetőleg az összes adóteher változatlansága </w:t>
      </w:r>
      <w:r w:rsidR="00CF6C74" w:rsidRPr="00413518">
        <w:rPr>
          <w:rFonts w:ascii="Times New Roman" w:hAnsi="Times New Roman" w:cs="Times New Roman"/>
          <w:sz w:val="24"/>
          <w:szCs w:val="24"/>
        </w:rPr>
        <w:lastRenderedPageBreak/>
        <w:t xml:space="preserve">mellett kell bevezetni és ezzel egy időben csökkenteni </w:t>
      </w:r>
      <w:r w:rsidR="00E11D64">
        <w:rPr>
          <w:rFonts w:ascii="Times New Roman" w:hAnsi="Times New Roman" w:cs="Times New Roman"/>
          <w:sz w:val="24"/>
          <w:szCs w:val="24"/>
        </w:rPr>
        <w:t xml:space="preserve">kell </w:t>
      </w:r>
      <w:r w:rsidR="00CF6C74" w:rsidRPr="00413518">
        <w:rPr>
          <w:rFonts w:ascii="Times New Roman" w:hAnsi="Times New Roman" w:cs="Times New Roman"/>
          <w:sz w:val="24"/>
          <w:szCs w:val="24"/>
        </w:rPr>
        <w:t>a munkaerőt terhelő adókat</w:t>
      </w:r>
      <w:r w:rsidR="00CF6C74" w:rsidRPr="00413518">
        <w:rPr>
          <w:rStyle w:val="Lbjegyzet-hivatkozs"/>
          <w:sz w:val="24"/>
          <w:szCs w:val="24"/>
        </w:rPr>
        <w:footnoteReference w:id="30"/>
      </w:r>
      <w:r w:rsidR="00CF6C74" w:rsidRPr="00413518">
        <w:rPr>
          <w:rFonts w:ascii="Times New Roman" w:hAnsi="Times New Roman" w:cs="Times New Roman"/>
          <w:sz w:val="24"/>
          <w:szCs w:val="24"/>
        </w:rPr>
        <w:t>. Az egyet nem értés ezután is folytatódott, majd 1998-ban számos tagállam, köztük Hollandia leszögezte, hogy csak akkor fogják teljesíteni a kyotói kötelezettségvállalásaikat, ha 2002-ig sikerül megállapodni az energia</w:t>
      </w:r>
      <w:r w:rsidR="00FE5CDC">
        <w:rPr>
          <w:rFonts w:ascii="Times New Roman" w:hAnsi="Times New Roman" w:cs="Times New Roman"/>
          <w:sz w:val="24"/>
          <w:szCs w:val="24"/>
        </w:rPr>
        <w:t>adó uniós szinten egységes szabályozásában.</w:t>
      </w:r>
      <w:r w:rsidR="00CF6C74" w:rsidRPr="00413518">
        <w:rPr>
          <w:rStyle w:val="Lbjegyzet-hivatkozs"/>
          <w:sz w:val="24"/>
          <w:szCs w:val="24"/>
        </w:rPr>
        <w:footnoteReference w:id="31"/>
      </w:r>
      <w:r w:rsidR="00CF6C74" w:rsidRPr="00413518">
        <w:rPr>
          <w:rFonts w:ascii="Times New Roman" w:hAnsi="Times New Roman" w:cs="Times New Roman"/>
          <w:sz w:val="24"/>
          <w:szCs w:val="24"/>
        </w:rPr>
        <w:br/>
      </w:r>
      <w:r w:rsidR="00CF6C74" w:rsidRPr="00413518">
        <w:rPr>
          <w:rFonts w:ascii="Times New Roman" w:hAnsi="Times New Roman" w:cs="Times New Roman"/>
          <w:sz w:val="24"/>
          <w:szCs w:val="24"/>
        </w:rPr>
        <w:tab/>
        <w:t xml:space="preserve">Az Európai Parlament nem adta fel, 1998-ban kiadta az ún. </w:t>
      </w:r>
      <w:r w:rsidR="00CF6C74" w:rsidRPr="00413518">
        <w:rPr>
          <w:rFonts w:ascii="Times New Roman" w:hAnsi="Times New Roman" w:cs="Times New Roman"/>
          <w:i/>
          <w:sz w:val="24"/>
          <w:szCs w:val="24"/>
        </w:rPr>
        <w:t>Olsson jelentést</w:t>
      </w:r>
      <w:r w:rsidR="00CF6C74" w:rsidRPr="00413518">
        <w:rPr>
          <w:rFonts w:ascii="Times New Roman" w:hAnsi="Times New Roman" w:cs="Times New Roman"/>
          <w:sz w:val="24"/>
          <w:szCs w:val="24"/>
        </w:rPr>
        <w:t>, amelyben az alábbiakat javasolta</w:t>
      </w:r>
      <w:r w:rsidR="00CF6C74" w:rsidRPr="00413518">
        <w:rPr>
          <w:rStyle w:val="Lbjegyzet-hivatkozs"/>
          <w:sz w:val="24"/>
          <w:szCs w:val="24"/>
        </w:rPr>
        <w:footnoteReference w:id="32"/>
      </w:r>
      <w:r w:rsidR="00E23F1B">
        <w:rPr>
          <w:rFonts w:ascii="Times New Roman" w:hAnsi="Times New Roman" w:cs="Times New Roman"/>
          <w:sz w:val="24"/>
          <w:szCs w:val="24"/>
        </w:rPr>
        <w:t>:</w:t>
      </w:r>
      <w:r w:rsidR="00E11D64">
        <w:rPr>
          <w:rFonts w:ascii="Times New Roman" w:hAnsi="Times New Roman" w:cs="Times New Roman"/>
          <w:sz w:val="24"/>
          <w:szCs w:val="24"/>
        </w:rPr>
        <w:tab/>
      </w:r>
      <w:r w:rsidR="00E11D64">
        <w:rPr>
          <w:rFonts w:ascii="Times New Roman" w:hAnsi="Times New Roman" w:cs="Times New Roman"/>
          <w:sz w:val="24"/>
          <w:szCs w:val="24"/>
        </w:rPr>
        <w:br/>
      </w:r>
      <w:r w:rsidR="00E11D64">
        <w:rPr>
          <w:rFonts w:ascii="Times New Roman" w:hAnsi="Times New Roman" w:cs="Times New Roman"/>
          <w:sz w:val="24"/>
          <w:szCs w:val="24"/>
        </w:rPr>
        <w:tab/>
      </w:r>
      <w:r w:rsidR="00CF6C74" w:rsidRPr="00413518">
        <w:rPr>
          <w:rFonts w:ascii="Times New Roman" w:hAnsi="Times New Roman" w:cs="Times New Roman"/>
          <w:sz w:val="24"/>
          <w:szCs w:val="24"/>
        </w:rPr>
        <w:t>(1) minden tagországban egysé</w:t>
      </w:r>
      <w:r w:rsidR="00E23F1B">
        <w:rPr>
          <w:rFonts w:ascii="Times New Roman" w:hAnsi="Times New Roman" w:cs="Times New Roman"/>
          <w:sz w:val="24"/>
          <w:szCs w:val="24"/>
        </w:rPr>
        <w:t>ges energiaadót kell bevezetni;</w:t>
      </w:r>
      <w:r w:rsidR="00E11D64">
        <w:rPr>
          <w:rFonts w:ascii="Times New Roman" w:hAnsi="Times New Roman" w:cs="Times New Roman"/>
          <w:sz w:val="24"/>
          <w:szCs w:val="24"/>
        </w:rPr>
        <w:tab/>
      </w:r>
      <w:r w:rsidR="00E11D64">
        <w:rPr>
          <w:rFonts w:ascii="Times New Roman" w:hAnsi="Times New Roman" w:cs="Times New Roman"/>
          <w:sz w:val="24"/>
          <w:szCs w:val="24"/>
        </w:rPr>
        <w:br/>
      </w:r>
      <w:r w:rsidR="00E11D64">
        <w:rPr>
          <w:rFonts w:ascii="Times New Roman" w:hAnsi="Times New Roman" w:cs="Times New Roman"/>
          <w:sz w:val="24"/>
          <w:szCs w:val="24"/>
        </w:rPr>
        <w:tab/>
      </w:r>
      <w:r w:rsidR="00CF6C74" w:rsidRPr="00413518">
        <w:rPr>
          <w:rFonts w:ascii="Times New Roman" w:hAnsi="Times New Roman" w:cs="Times New Roman"/>
          <w:sz w:val="24"/>
          <w:szCs w:val="24"/>
        </w:rPr>
        <w:t>(2) az energiára 3 fokozatú VAT</w:t>
      </w:r>
      <w:r w:rsidR="00CF6C74" w:rsidRPr="00413518">
        <w:rPr>
          <w:rStyle w:val="Lbjegyzet-hivatkozs"/>
          <w:sz w:val="24"/>
          <w:szCs w:val="24"/>
        </w:rPr>
        <w:footnoteReference w:id="33"/>
      </w:r>
      <w:r w:rsidR="00CF6C74" w:rsidRPr="00413518">
        <w:rPr>
          <w:rFonts w:ascii="Times New Roman" w:hAnsi="Times New Roman" w:cs="Times New Roman"/>
          <w:sz w:val="24"/>
          <w:szCs w:val="24"/>
        </w:rPr>
        <w:t>-ot kell megállapí</w:t>
      </w:r>
      <w:r w:rsidR="007D10B3">
        <w:rPr>
          <w:rFonts w:ascii="Times New Roman" w:hAnsi="Times New Roman" w:cs="Times New Roman"/>
          <w:sz w:val="24"/>
          <w:szCs w:val="24"/>
        </w:rPr>
        <w:t>tani</w:t>
      </w:r>
      <w:r w:rsidR="00E23F1B">
        <w:rPr>
          <w:rFonts w:ascii="Times New Roman" w:hAnsi="Times New Roman" w:cs="Times New Roman"/>
          <w:sz w:val="24"/>
          <w:szCs w:val="24"/>
        </w:rPr>
        <w:t>;</w:t>
      </w:r>
      <w:r w:rsidR="00E11D64">
        <w:rPr>
          <w:rFonts w:ascii="Times New Roman" w:hAnsi="Times New Roman" w:cs="Times New Roman"/>
          <w:sz w:val="24"/>
          <w:szCs w:val="24"/>
        </w:rPr>
        <w:tab/>
      </w:r>
      <w:r w:rsidR="00E11D64">
        <w:rPr>
          <w:rFonts w:ascii="Times New Roman" w:hAnsi="Times New Roman" w:cs="Times New Roman"/>
          <w:sz w:val="24"/>
          <w:szCs w:val="24"/>
        </w:rPr>
        <w:br/>
      </w:r>
      <w:r w:rsidR="00E11D64">
        <w:rPr>
          <w:rFonts w:ascii="Times New Roman" w:hAnsi="Times New Roman" w:cs="Times New Roman"/>
          <w:sz w:val="24"/>
          <w:szCs w:val="24"/>
        </w:rPr>
        <w:tab/>
      </w:r>
      <w:r w:rsidR="00CF6C74" w:rsidRPr="00413518">
        <w:rPr>
          <w:rFonts w:ascii="Times New Roman" w:hAnsi="Times New Roman" w:cs="Times New Roman"/>
          <w:sz w:val="24"/>
          <w:szCs w:val="24"/>
        </w:rPr>
        <w:t xml:space="preserve">(3) az egyhangúság elvét az energiaadózásban legalább minősített többségre kell </w:t>
      </w:r>
      <w:r w:rsidR="000F30B4">
        <w:rPr>
          <w:rFonts w:ascii="Times New Roman" w:hAnsi="Times New Roman" w:cs="Times New Roman"/>
          <w:sz w:val="24"/>
          <w:szCs w:val="24"/>
        </w:rPr>
        <w:tab/>
      </w:r>
      <w:r w:rsidR="00E23F1B">
        <w:rPr>
          <w:rFonts w:ascii="Times New Roman" w:hAnsi="Times New Roman" w:cs="Times New Roman"/>
          <w:sz w:val="24"/>
          <w:szCs w:val="24"/>
        </w:rPr>
        <w:t>változtatni.</w:t>
      </w:r>
      <w:r w:rsidR="000F30B4">
        <w:rPr>
          <w:rFonts w:ascii="Times New Roman" w:hAnsi="Times New Roman" w:cs="Times New Roman"/>
          <w:sz w:val="24"/>
          <w:szCs w:val="24"/>
        </w:rPr>
        <w:tab/>
      </w:r>
      <w:r w:rsidR="000F30B4">
        <w:rPr>
          <w:rFonts w:ascii="Times New Roman" w:hAnsi="Times New Roman" w:cs="Times New Roman"/>
          <w:sz w:val="24"/>
          <w:szCs w:val="24"/>
        </w:rPr>
        <w:br/>
        <w:t>J</w:t>
      </w:r>
      <w:r w:rsidR="00CF6C74" w:rsidRPr="00413518">
        <w:rPr>
          <w:rFonts w:ascii="Times New Roman" w:hAnsi="Times New Roman" w:cs="Times New Roman"/>
          <w:sz w:val="24"/>
          <w:szCs w:val="24"/>
        </w:rPr>
        <w:t>elentős előrelépésnek minősült az</w:t>
      </w:r>
      <w:r w:rsidR="000F30B4">
        <w:rPr>
          <w:rFonts w:ascii="Times New Roman" w:hAnsi="Times New Roman" w:cs="Times New Roman"/>
          <w:sz w:val="24"/>
          <w:szCs w:val="24"/>
        </w:rPr>
        <w:t xml:space="preserve"> is</w:t>
      </w:r>
      <w:r w:rsidR="00CF6C74" w:rsidRPr="00413518">
        <w:rPr>
          <w:rFonts w:ascii="Times New Roman" w:hAnsi="Times New Roman" w:cs="Times New Roman"/>
          <w:sz w:val="24"/>
          <w:szCs w:val="24"/>
        </w:rPr>
        <w:t xml:space="preserve">, hogy felismerték, miért nem sikerül megegyezni a tagállamokkal. Az egyes tagállamokban az energiaadó szabályozása, ezáltal az energiaárak eltérnek egymástól, ez az eltérés bizonyos országok között igen magas, ezáltal a versenyfeltételeket ez a </w:t>
      </w:r>
      <w:r w:rsidR="00460FDE">
        <w:rPr>
          <w:rFonts w:ascii="Times New Roman" w:hAnsi="Times New Roman" w:cs="Times New Roman"/>
          <w:sz w:val="24"/>
          <w:szCs w:val="24"/>
        </w:rPr>
        <w:t>tény lényegesen differenciálja.</w:t>
      </w:r>
      <w:r w:rsidR="000B6D2B" w:rsidRPr="00413518">
        <w:rPr>
          <w:rFonts w:ascii="Times New Roman" w:hAnsi="Times New Roman" w:cs="Times New Roman"/>
          <w:sz w:val="24"/>
          <w:szCs w:val="24"/>
        </w:rPr>
        <w:tab/>
      </w:r>
      <w:r w:rsidR="00CF6C74" w:rsidRPr="00413518">
        <w:rPr>
          <w:rFonts w:ascii="Times New Roman" w:hAnsi="Times New Roman" w:cs="Times New Roman"/>
          <w:sz w:val="24"/>
          <w:szCs w:val="24"/>
        </w:rPr>
        <w:br/>
      </w:r>
      <w:r w:rsidR="00CF6C74" w:rsidRPr="00413518">
        <w:rPr>
          <w:rFonts w:ascii="Times New Roman" w:hAnsi="Times New Roman" w:cs="Times New Roman"/>
          <w:sz w:val="24"/>
          <w:szCs w:val="24"/>
        </w:rPr>
        <w:tab/>
        <w:t xml:space="preserve">A változásokat az 1999-es </w:t>
      </w:r>
      <w:r w:rsidR="00CF6C74" w:rsidRPr="00413518">
        <w:rPr>
          <w:rFonts w:ascii="Times New Roman" w:hAnsi="Times New Roman" w:cs="Times New Roman"/>
          <w:i/>
          <w:sz w:val="24"/>
          <w:szCs w:val="24"/>
        </w:rPr>
        <w:t>német elnökség</w:t>
      </w:r>
      <w:r w:rsidR="00CF6C74" w:rsidRPr="00413518">
        <w:rPr>
          <w:rFonts w:ascii="Times New Roman" w:hAnsi="Times New Roman" w:cs="Times New Roman"/>
          <w:sz w:val="24"/>
          <w:szCs w:val="24"/>
        </w:rPr>
        <w:t xml:space="preserve"> indította be. A </w:t>
      </w:r>
      <w:r w:rsidR="00FE5CDC">
        <w:rPr>
          <w:rFonts w:ascii="Times New Roman" w:hAnsi="Times New Roman" w:cs="Times New Roman"/>
          <w:sz w:val="24"/>
          <w:szCs w:val="24"/>
        </w:rPr>
        <w:t>kiindulási pont a Monti-javaslat volt</w:t>
      </w:r>
      <w:r w:rsidR="00CF6C74" w:rsidRPr="00413518">
        <w:rPr>
          <w:rFonts w:ascii="Times New Roman" w:hAnsi="Times New Roman" w:cs="Times New Roman"/>
          <w:sz w:val="24"/>
          <w:szCs w:val="24"/>
        </w:rPr>
        <w:t>,</w:t>
      </w:r>
      <w:r w:rsidR="00D36BD1">
        <w:rPr>
          <w:rFonts w:ascii="Times New Roman" w:hAnsi="Times New Roman" w:cs="Times New Roman"/>
          <w:sz w:val="24"/>
          <w:szCs w:val="24"/>
        </w:rPr>
        <w:t xml:space="preserve"> amelynek a</w:t>
      </w:r>
      <w:r w:rsidR="00CF6C74" w:rsidRPr="00413518">
        <w:rPr>
          <w:rFonts w:ascii="Times New Roman" w:hAnsi="Times New Roman" w:cs="Times New Roman"/>
          <w:sz w:val="24"/>
          <w:szCs w:val="24"/>
        </w:rPr>
        <w:t xml:space="preserve"> megvalósítására törekedtek, </w:t>
      </w:r>
      <w:r w:rsidR="00D36BD1">
        <w:rPr>
          <w:rFonts w:ascii="Times New Roman" w:hAnsi="Times New Roman" w:cs="Times New Roman"/>
          <w:sz w:val="24"/>
          <w:szCs w:val="24"/>
        </w:rPr>
        <w:t>ezért</w:t>
      </w:r>
      <w:r w:rsidR="00CF6C74" w:rsidRPr="00413518">
        <w:rPr>
          <w:rFonts w:ascii="Times New Roman" w:hAnsi="Times New Roman" w:cs="Times New Roman"/>
          <w:sz w:val="24"/>
          <w:szCs w:val="24"/>
        </w:rPr>
        <w:t xml:space="preserve"> egy átmeneti időszakot javasoltak. A többi tagállam, ahogy az eddigi gyakorlat is jól türközi nem értett egyet, így a következő elnökségek ideje alatt</w:t>
      </w:r>
      <w:r w:rsidR="00CF6C74" w:rsidRPr="00413518">
        <w:rPr>
          <w:rStyle w:val="Lbjegyzet-hivatkozs"/>
          <w:sz w:val="24"/>
          <w:szCs w:val="24"/>
        </w:rPr>
        <w:footnoteReference w:id="34"/>
      </w:r>
      <w:r w:rsidR="00CF6C74" w:rsidRPr="00413518">
        <w:rPr>
          <w:rFonts w:ascii="Times New Roman" w:hAnsi="Times New Roman" w:cs="Times New Roman"/>
          <w:sz w:val="24"/>
          <w:szCs w:val="24"/>
        </w:rPr>
        <w:t xml:space="preserve"> nem is történt jelentős előrelépés. A kérdés így </w:t>
      </w:r>
      <w:r w:rsidR="00F07551">
        <w:rPr>
          <w:rFonts w:ascii="Times New Roman" w:hAnsi="Times New Roman" w:cs="Times New Roman"/>
          <w:sz w:val="24"/>
          <w:szCs w:val="24"/>
        </w:rPr>
        <w:t xml:space="preserve">ekkor háborítatlan maradt </w:t>
      </w:r>
      <w:r w:rsidR="00CF6C74" w:rsidRPr="00413518">
        <w:rPr>
          <w:rFonts w:ascii="Times New Roman" w:hAnsi="Times New Roman" w:cs="Times New Roman"/>
          <w:sz w:val="24"/>
          <w:szCs w:val="24"/>
        </w:rPr>
        <w:t xml:space="preserve">addig, amíg a svéd elnökség felújította a Monti-javaslatról szóló tárgyalásokat 2001-ben. A </w:t>
      </w:r>
      <w:r w:rsidR="00CF6C74" w:rsidRPr="00413518">
        <w:rPr>
          <w:rFonts w:ascii="Times New Roman" w:hAnsi="Times New Roman" w:cs="Times New Roman"/>
          <w:i/>
          <w:sz w:val="24"/>
          <w:szCs w:val="24"/>
        </w:rPr>
        <w:t>svéd elnökség</w:t>
      </w:r>
      <w:r w:rsidR="00CF6C74" w:rsidRPr="00413518">
        <w:rPr>
          <w:rFonts w:ascii="Times New Roman" w:hAnsi="Times New Roman" w:cs="Times New Roman"/>
          <w:sz w:val="24"/>
          <w:szCs w:val="24"/>
        </w:rPr>
        <w:t xml:space="preserve"> </w:t>
      </w:r>
      <w:r w:rsidR="00F07551">
        <w:rPr>
          <w:rFonts w:ascii="Times New Roman" w:hAnsi="Times New Roman" w:cs="Times New Roman"/>
          <w:sz w:val="24"/>
          <w:szCs w:val="24"/>
        </w:rPr>
        <w:t>rá</w:t>
      </w:r>
      <w:r w:rsidR="00CF6C74" w:rsidRPr="00413518">
        <w:rPr>
          <w:rFonts w:ascii="Times New Roman" w:hAnsi="Times New Roman" w:cs="Times New Roman"/>
          <w:sz w:val="24"/>
          <w:szCs w:val="24"/>
        </w:rPr>
        <w:t>világított rá, hogy nem az adórátákról kell vitázni, hanem az adóstruktúráról és, ha stabilan megállapították az adóstruktúrát, akkor lehet vitatkozni később az adórátákról. Spanyolország ezt a javaslatot is megvétózta - csakúgy, mint korábban magát a Monti – javaslatot – és az energiapiac és az energiaadók liberalizálás</w:t>
      </w:r>
      <w:r w:rsidR="001871C9">
        <w:rPr>
          <w:rFonts w:ascii="Times New Roman" w:hAnsi="Times New Roman" w:cs="Times New Roman"/>
          <w:sz w:val="24"/>
          <w:szCs w:val="24"/>
        </w:rPr>
        <w:t>á</w:t>
      </w:r>
      <w:r w:rsidR="00CF6C74" w:rsidRPr="00413518">
        <w:rPr>
          <w:rFonts w:ascii="Times New Roman" w:hAnsi="Times New Roman" w:cs="Times New Roman"/>
          <w:sz w:val="24"/>
          <w:szCs w:val="24"/>
        </w:rPr>
        <w:t>t oly módon kötötte össze, hogy bárminemű adóharmonizálás csakis a teljes és tényleges liberalizálás után jöhet létre</w:t>
      </w:r>
      <w:r w:rsidR="00CF6C74" w:rsidRPr="00413518">
        <w:rPr>
          <w:rStyle w:val="Lbjegyzet-hivatkozs"/>
          <w:sz w:val="24"/>
          <w:szCs w:val="24"/>
        </w:rPr>
        <w:footnoteReference w:id="35"/>
      </w:r>
      <w:r w:rsidR="004B3313">
        <w:rPr>
          <w:rFonts w:ascii="Times New Roman" w:hAnsi="Times New Roman" w:cs="Times New Roman"/>
          <w:sz w:val="24"/>
          <w:szCs w:val="24"/>
        </w:rPr>
        <w:t>. Az elképzelést támogatt</w:t>
      </w:r>
      <w:r w:rsidR="00CF6C74" w:rsidRPr="00413518">
        <w:rPr>
          <w:rFonts w:ascii="Times New Roman" w:hAnsi="Times New Roman" w:cs="Times New Roman"/>
          <w:sz w:val="24"/>
          <w:szCs w:val="24"/>
        </w:rPr>
        <w:t>a An</w:t>
      </w:r>
      <w:r w:rsidR="004B3313">
        <w:rPr>
          <w:rFonts w:ascii="Times New Roman" w:hAnsi="Times New Roman" w:cs="Times New Roman"/>
          <w:sz w:val="24"/>
          <w:szCs w:val="24"/>
        </w:rPr>
        <w:t>glia, Franciaország pedig ellenezte</w:t>
      </w:r>
      <w:r w:rsidR="00CF6C74" w:rsidRPr="00413518">
        <w:rPr>
          <w:rStyle w:val="Lbjegyzet-hivatkozs"/>
          <w:sz w:val="24"/>
          <w:szCs w:val="24"/>
        </w:rPr>
        <w:footnoteReference w:id="36"/>
      </w:r>
      <w:r w:rsidR="00460FDE">
        <w:rPr>
          <w:rFonts w:ascii="Times New Roman" w:hAnsi="Times New Roman" w:cs="Times New Roman"/>
          <w:sz w:val="24"/>
          <w:szCs w:val="24"/>
        </w:rPr>
        <w:t>.</w:t>
      </w:r>
      <w:r w:rsidR="00CF6C74" w:rsidRPr="00413518">
        <w:rPr>
          <w:rFonts w:ascii="Times New Roman" w:hAnsi="Times New Roman" w:cs="Times New Roman"/>
          <w:sz w:val="24"/>
          <w:szCs w:val="24"/>
        </w:rPr>
        <w:tab/>
      </w:r>
      <w:r w:rsidR="00CF6C74" w:rsidRPr="00413518">
        <w:rPr>
          <w:rFonts w:ascii="Times New Roman" w:hAnsi="Times New Roman" w:cs="Times New Roman"/>
          <w:sz w:val="24"/>
          <w:szCs w:val="24"/>
        </w:rPr>
        <w:br/>
      </w:r>
      <w:r w:rsidR="00CF6C74" w:rsidRPr="00413518">
        <w:rPr>
          <w:rFonts w:ascii="Times New Roman" w:hAnsi="Times New Roman" w:cs="Times New Roman"/>
          <w:sz w:val="24"/>
          <w:szCs w:val="24"/>
        </w:rPr>
        <w:tab/>
        <w:t xml:space="preserve">A svédek által kezdeményezett folyamatot a belga elnökség is folytatta 2001. második </w:t>
      </w:r>
      <w:r w:rsidR="001871C9">
        <w:rPr>
          <w:rFonts w:ascii="Times New Roman" w:hAnsi="Times New Roman" w:cs="Times New Roman"/>
          <w:sz w:val="24"/>
          <w:szCs w:val="24"/>
        </w:rPr>
        <w:lastRenderedPageBreak/>
        <w:t>félévében. A viták három kérdés</w:t>
      </w:r>
      <w:r w:rsidR="00CF6C74" w:rsidRPr="00413518">
        <w:rPr>
          <w:rFonts w:ascii="Times New Roman" w:hAnsi="Times New Roman" w:cs="Times New Roman"/>
          <w:sz w:val="24"/>
          <w:szCs w:val="24"/>
        </w:rPr>
        <w:t>kört öleltek fel</w:t>
      </w:r>
      <w:r w:rsidR="00CF6C74" w:rsidRPr="00413518">
        <w:rPr>
          <w:rStyle w:val="Lbjegyzet-hivatkozs"/>
          <w:sz w:val="24"/>
          <w:szCs w:val="24"/>
        </w:rPr>
        <w:footnoteReference w:id="37"/>
      </w:r>
      <w:r w:rsidR="00E23F1B">
        <w:rPr>
          <w:rFonts w:ascii="Times New Roman" w:hAnsi="Times New Roman" w:cs="Times New Roman"/>
          <w:sz w:val="24"/>
          <w:szCs w:val="24"/>
        </w:rPr>
        <w:t>:</w:t>
      </w:r>
      <w:r w:rsidR="000F30B4">
        <w:rPr>
          <w:rFonts w:ascii="Times New Roman" w:hAnsi="Times New Roman" w:cs="Times New Roman"/>
          <w:sz w:val="24"/>
          <w:szCs w:val="24"/>
        </w:rPr>
        <w:tab/>
      </w:r>
      <w:r w:rsidR="000F30B4">
        <w:rPr>
          <w:rFonts w:ascii="Times New Roman" w:hAnsi="Times New Roman" w:cs="Times New Roman"/>
          <w:sz w:val="24"/>
          <w:szCs w:val="24"/>
        </w:rPr>
        <w:br/>
      </w:r>
      <w:r w:rsidR="000F30B4">
        <w:rPr>
          <w:rFonts w:ascii="Times New Roman" w:hAnsi="Times New Roman" w:cs="Times New Roman"/>
          <w:sz w:val="24"/>
          <w:szCs w:val="24"/>
        </w:rPr>
        <w:tab/>
      </w:r>
      <w:r w:rsidR="00CF6C74" w:rsidRPr="00413518">
        <w:rPr>
          <w:rFonts w:ascii="Times New Roman" w:hAnsi="Times New Roman" w:cs="Times New Roman"/>
          <w:sz w:val="24"/>
          <w:szCs w:val="24"/>
        </w:rPr>
        <w:t>(1) a megújuló energiaforrásokból származó v</w:t>
      </w:r>
      <w:r w:rsidR="00E23F1B">
        <w:rPr>
          <w:rFonts w:ascii="Times New Roman" w:hAnsi="Times New Roman" w:cs="Times New Roman"/>
          <w:sz w:val="24"/>
          <w:szCs w:val="24"/>
        </w:rPr>
        <w:t>illamos energia adómentesítése;</w:t>
      </w:r>
      <w:r w:rsidR="000F30B4">
        <w:rPr>
          <w:rFonts w:ascii="Times New Roman" w:hAnsi="Times New Roman" w:cs="Times New Roman"/>
          <w:sz w:val="24"/>
          <w:szCs w:val="24"/>
        </w:rPr>
        <w:tab/>
      </w:r>
      <w:r w:rsidR="000F30B4">
        <w:rPr>
          <w:rFonts w:ascii="Times New Roman" w:hAnsi="Times New Roman" w:cs="Times New Roman"/>
          <w:sz w:val="24"/>
          <w:szCs w:val="24"/>
        </w:rPr>
        <w:br/>
      </w:r>
      <w:r w:rsidR="000F30B4">
        <w:rPr>
          <w:rFonts w:ascii="Times New Roman" w:hAnsi="Times New Roman" w:cs="Times New Roman"/>
          <w:sz w:val="24"/>
          <w:szCs w:val="24"/>
        </w:rPr>
        <w:tab/>
      </w:r>
      <w:r w:rsidR="00CF6C74" w:rsidRPr="00413518">
        <w:rPr>
          <w:rFonts w:ascii="Times New Roman" w:hAnsi="Times New Roman" w:cs="Times New Roman"/>
          <w:sz w:val="24"/>
          <w:szCs w:val="24"/>
        </w:rPr>
        <w:t>(2) az energia intenzív ipa</w:t>
      </w:r>
      <w:r w:rsidR="00E23F1B">
        <w:rPr>
          <w:rFonts w:ascii="Times New Roman" w:hAnsi="Times New Roman" w:cs="Times New Roman"/>
          <w:sz w:val="24"/>
          <w:szCs w:val="24"/>
        </w:rPr>
        <w:t>rágak adóalapja és mentességei;</w:t>
      </w:r>
      <w:r w:rsidR="000F30B4">
        <w:rPr>
          <w:rFonts w:ascii="Times New Roman" w:hAnsi="Times New Roman" w:cs="Times New Roman"/>
          <w:sz w:val="24"/>
          <w:szCs w:val="24"/>
        </w:rPr>
        <w:tab/>
      </w:r>
      <w:r w:rsidR="000F30B4">
        <w:rPr>
          <w:rFonts w:ascii="Times New Roman" w:hAnsi="Times New Roman" w:cs="Times New Roman"/>
          <w:sz w:val="24"/>
          <w:szCs w:val="24"/>
        </w:rPr>
        <w:br/>
      </w:r>
      <w:r w:rsidR="000F30B4">
        <w:rPr>
          <w:rFonts w:ascii="Times New Roman" w:hAnsi="Times New Roman" w:cs="Times New Roman"/>
          <w:sz w:val="24"/>
          <w:szCs w:val="24"/>
        </w:rPr>
        <w:tab/>
      </w:r>
      <w:r w:rsidR="00CF6C74" w:rsidRPr="00413518">
        <w:rPr>
          <w:rFonts w:ascii="Times New Roman" w:hAnsi="Times New Roman" w:cs="Times New Roman"/>
          <w:sz w:val="24"/>
          <w:szCs w:val="24"/>
        </w:rPr>
        <w:t xml:space="preserve">(3) az energiaadók differenciálása az energiatermékek minősége és felhasználása </w:t>
      </w:r>
      <w:r w:rsidR="000F30B4">
        <w:rPr>
          <w:rFonts w:ascii="Times New Roman" w:hAnsi="Times New Roman" w:cs="Times New Roman"/>
          <w:sz w:val="24"/>
          <w:szCs w:val="24"/>
        </w:rPr>
        <w:tab/>
      </w:r>
      <w:r w:rsidR="00E23F1B">
        <w:rPr>
          <w:rFonts w:ascii="Times New Roman" w:hAnsi="Times New Roman" w:cs="Times New Roman"/>
          <w:sz w:val="24"/>
          <w:szCs w:val="24"/>
        </w:rPr>
        <w:t>szerint.</w:t>
      </w:r>
      <w:r w:rsidR="000F30B4">
        <w:rPr>
          <w:rFonts w:ascii="Times New Roman" w:hAnsi="Times New Roman" w:cs="Times New Roman"/>
          <w:sz w:val="24"/>
          <w:szCs w:val="24"/>
        </w:rPr>
        <w:tab/>
      </w:r>
      <w:r w:rsidR="000F30B4">
        <w:rPr>
          <w:rFonts w:ascii="Times New Roman" w:hAnsi="Times New Roman" w:cs="Times New Roman"/>
          <w:sz w:val="24"/>
          <w:szCs w:val="24"/>
        </w:rPr>
        <w:br/>
      </w:r>
      <w:r w:rsidR="00CF6C74" w:rsidRPr="00413518">
        <w:rPr>
          <w:rFonts w:ascii="Times New Roman" w:hAnsi="Times New Roman" w:cs="Times New Roman"/>
          <w:sz w:val="24"/>
          <w:szCs w:val="24"/>
        </w:rPr>
        <w:t>Az újon</w:t>
      </w:r>
      <w:r w:rsidR="000F30B4">
        <w:rPr>
          <w:rFonts w:ascii="Times New Roman" w:hAnsi="Times New Roman" w:cs="Times New Roman"/>
          <w:sz w:val="24"/>
          <w:szCs w:val="24"/>
        </w:rPr>
        <w:t xml:space="preserve">nan </w:t>
      </w:r>
      <w:r w:rsidR="00CF6C74" w:rsidRPr="00413518">
        <w:rPr>
          <w:rFonts w:ascii="Times New Roman" w:hAnsi="Times New Roman" w:cs="Times New Roman"/>
          <w:sz w:val="24"/>
          <w:szCs w:val="24"/>
        </w:rPr>
        <w:t xml:space="preserve">nizzai szerződés bevezette a </w:t>
      </w:r>
      <w:r w:rsidR="00CF6C74" w:rsidRPr="000F30B4">
        <w:rPr>
          <w:rFonts w:ascii="Times New Roman" w:hAnsi="Times New Roman" w:cs="Times New Roman"/>
          <w:i/>
          <w:sz w:val="24"/>
          <w:szCs w:val="24"/>
        </w:rPr>
        <w:t>megerősített együttműködési</w:t>
      </w:r>
      <w:r w:rsidR="00CF6C74" w:rsidRPr="00413518">
        <w:rPr>
          <w:rStyle w:val="Lbjegyzet-hivatkozs"/>
          <w:sz w:val="24"/>
          <w:szCs w:val="24"/>
        </w:rPr>
        <w:footnoteReference w:id="38"/>
      </w:r>
      <w:r w:rsidR="00CF6C74" w:rsidRPr="00413518">
        <w:rPr>
          <w:rFonts w:ascii="Times New Roman" w:hAnsi="Times New Roman" w:cs="Times New Roman"/>
          <w:sz w:val="24"/>
          <w:szCs w:val="24"/>
        </w:rPr>
        <w:t xml:space="preserve"> eljárást. Az EU párti belgák ezen az úton próbálták meg a kérdéskö</w:t>
      </w:r>
      <w:r w:rsidR="00460FDE">
        <w:rPr>
          <w:rFonts w:ascii="Times New Roman" w:hAnsi="Times New Roman" w:cs="Times New Roman"/>
          <w:sz w:val="24"/>
          <w:szCs w:val="24"/>
        </w:rPr>
        <w:t>rt rendezni, de kevés sikerrel.</w:t>
      </w:r>
      <w:r w:rsidR="00CF6C74" w:rsidRPr="00413518">
        <w:rPr>
          <w:rFonts w:ascii="Times New Roman" w:hAnsi="Times New Roman" w:cs="Times New Roman"/>
          <w:sz w:val="24"/>
          <w:szCs w:val="24"/>
        </w:rPr>
        <w:tab/>
      </w:r>
      <w:r w:rsidR="00CF6C74" w:rsidRPr="00413518">
        <w:rPr>
          <w:rFonts w:ascii="Times New Roman" w:hAnsi="Times New Roman" w:cs="Times New Roman"/>
          <w:sz w:val="24"/>
          <w:szCs w:val="24"/>
        </w:rPr>
        <w:br/>
      </w:r>
      <w:r w:rsidR="00CF6C74" w:rsidRPr="00413518">
        <w:rPr>
          <w:rFonts w:ascii="Times New Roman" w:hAnsi="Times New Roman" w:cs="Times New Roman"/>
          <w:sz w:val="24"/>
          <w:szCs w:val="24"/>
        </w:rPr>
        <w:tab/>
        <w:t xml:space="preserve">A belga elnökség után 2002. első felében a </w:t>
      </w:r>
      <w:r w:rsidR="00CF6C74" w:rsidRPr="00413518">
        <w:rPr>
          <w:rFonts w:ascii="Times New Roman" w:hAnsi="Times New Roman" w:cs="Times New Roman"/>
          <w:i/>
          <w:sz w:val="24"/>
          <w:szCs w:val="24"/>
        </w:rPr>
        <w:t>spanyol elnökség</w:t>
      </w:r>
      <w:r w:rsidR="00E23F1B">
        <w:rPr>
          <w:rFonts w:ascii="Times New Roman" w:hAnsi="Times New Roman" w:cs="Times New Roman"/>
          <w:sz w:val="24"/>
          <w:szCs w:val="24"/>
        </w:rPr>
        <w:t xml:space="preserve"> időszaka következett. </w:t>
      </w:r>
      <w:r w:rsidR="00CF6C74" w:rsidRPr="00413518">
        <w:rPr>
          <w:rFonts w:ascii="Times New Roman" w:hAnsi="Times New Roman" w:cs="Times New Roman"/>
          <w:sz w:val="24"/>
          <w:szCs w:val="24"/>
        </w:rPr>
        <w:t>A spanyolok</w:t>
      </w:r>
      <w:r w:rsidR="007D10B3">
        <w:rPr>
          <w:rFonts w:ascii="Times New Roman" w:hAnsi="Times New Roman" w:cs="Times New Roman"/>
          <w:sz w:val="24"/>
          <w:szCs w:val="24"/>
        </w:rPr>
        <w:t xml:space="preserve"> - korábbi hozzáállásukkal ellentétben - </w:t>
      </w:r>
      <w:r w:rsidR="007D10B3" w:rsidRPr="00413518">
        <w:rPr>
          <w:rFonts w:ascii="Times New Roman" w:hAnsi="Times New Roman" w:cs="Times New Roman"/>
          <w:sz w:val="24"/>
          <w:szCs w:val="24"/>
        </w:rPr>
        <w:t>jelentős előrelépést valósítottak meg</w:t>
      </w:r>
      <w:r w:rsidR="00CF6C74" w:rsidRPr="00413518">
        <w:rPr>
          <w:rFonts w:ascii="Times New Roman" w:hAnsi="Times New Roman" w:cs="Times New Roman"/>
          <w:sz w:val="24"/>
          <w:szCs w:val="24"/>
        </w:rPr>
        <w:t>. Mindent megtettek annak érdekében, hogy egy jól alkalmazható direktívát dolgozzanak ki. A fordulat okait három csoportban foglalhatjuk össze</w:t>
      </w:r>
      <w:r w:rsidR="00CF6C74" w:rsidRPr="00413518">
        <w:rPr>
          <w:rStyle w:val="Lbjegyzet-hivatkozs"/>
          <w:sz w:val="24"/>
          <w:szCs w:val="24"/>
        </w:rPr>
        <w:footnoteReference w:id="39"/>
      </w:r>
      <w:r w:rsidR="00E23F1B">
        <w:rPr>
          <w:rFonts w:ascii="Times New Roman" w:hAnsi="Times New Roman" w:cs="Times New Roman"/>
          <w:sz w:val="24"/>
          <w:szCs w:val="24"/>
        </w:rPr>
        <w:t>:</w:t>
      </w:r>
      <w:r w:rsidR="000F30B4">
        <w:rPr>
          <w:rFonts w:ascii="Times New Roman" w:hAnsi="Times New Roman" w:cs="Times New Roman"/>
          <w:sz w:val="24"/>
          <w:szCs w:val="24"/>
        </w:rPr>
        <w:tab/>
      </w:r>
      <w:r w:rsidR="000F30B4">
        <w:rPr>
          <w:rFonts w:ascii="Times New Roman" w:hAnsi="Times New Roman" w:cs="Times New Roman"/>
          <w:sz w:val="24"/>
          <w:szCs w:val="24"/>
        </w:rPr>
        <w:br/>
      </w:r>
      <w:r w:rsidR="000F30B4">
        <w:rPr>
          <w:rFonts w:ascii="Times New Roman" w:hAnsi="Times New Roman" w:cs="Times New Roman"/>
          <w:sz w:val="24"/>
          <w:szCs w:val="24"/>
        </w:rPr>
        <w:tab/>
      </w:r>
      <w:r w:rsidR="00CF6C74" w:rsidRPr="00413518">
        <w:rPr>
          <w:rFonts w:ascii="Times New Roman" w:hAnsi="Times New Roman" w:cs="Times New Roman"/>
          <w:sz w:val="24"/>
          <w:szCs w:val="24"/>
        </w:rPr>
        <w:t>(1) az energiat</w:t>
      </w:r>
      <w:r w:rsidR="007D10B3">
        <w:rPr>
          <w:rFonts w:ascii="Times New Roman" w:hAnsi="Times New Roman" w:cs="Times New Roman"/>
          <w:sz w:val="24"/>
          <w:szCs w:val="24"/>
        </w:rPr>
        <w:t xml:space="preserve">ermékek adómértéke folyamatosan növekedett </w:t>
      </w:r>
      <w:r w:rsidR="00E23F1B">
        <w:rPr>
          <w:rFonts w:ascii="Times New Roman" w:hAnsi="Times New Roman" w:cs="Times New Roman"/>
          <w:sz w:val="24"/>
          <w:szCs w:val="24"/>
        </w:rPr>
        <w:t>Spanyolországban;</w:t>
      </w:r>
      <w:r w:rsidR="000F30B4">
        <w:rPr>
          <w:rFonts w:ascii="Times New Roman" w:hAnsi="Times New Roman" w:cs="Times New Roman"/>
          <w:sz w:val="24"/>
          <w:szCs w:val="24"/>
        </w:rPr>
        <w:tab/>
      </w:r>
      <w:r w:rsidR="000F30B4">
        <w:rPr>
          <w:rFonts w:ascii="Times New Roman" w:hAnsi="Times New Roman" w:cs="Times New Roman"/>
          <w:sz w:val="24"/>
          <w:szCs w:val="24"/>
        </w:rPr>
        <w:br/>
      </w:r>
      <w:r w:rsidR="000F30B4">
        <w:rPr>
          <w:rFonts w:ascii="Times New Roman" w:hAnsi="Times New Roman" w:cs="Times New Roman"/>
          <w:sz w:val="24"/>
          <w:szCs w:val="24"/>
        </w:rPr>
        <w:tab/>
      </w:r>
      <w:r w:rsidR="00CF6C74" w:rsidRPr="00413518">
        <w:rPr>
          <w:rFonts w:ascii="Times New Roman" w:hAnsi="Times New Roman" w:cs="Times New Roman"/>
          <w:sz w:val="24"/>
          <w:szCs w:val="24"/>
        </w:rPr>
        <w:t>(2) a javasolt minimum adómérték már olyan ala</w:t>
      </w:r>
      <w:r w:rsidR="000F30B4">
        <w:rPr>
          <w:rFonts w:ascii="Times New Roman" w:hAnsi="Times New Roman" w:cs="Times New Roman"/>
          <w:sz w:val="24"/>
          <w:szCs w:val="24"/>
        </w:rPr>
        <w:t xml:space="preserve">csony volt, hogy az 1992-es </w:t>
      </w:r>
      <w:r w:rsidR="000F30B4">
        <w:rPr>
          <w:rFonts w:ascii="Times New Roman" w:hAnsi="Times New Roman" w:cs="Times New Roman"/>
          <w:sz w:val="24"/>
          <w:szCs w:val="24"/>
        </w:rPr>
        <w:tab/>
      </w:r>
      <w:r w:rsidR="00CF6C74" w:rsidRPr="00413518">
        <w:rPr>
          <w:rFonts w:ascii="Times New Roman" w:hAnsi="Times New Roman" w:cs="Times New Roman"/>
          <w:sz w:val="24"/>
          <w:szCs w:val="24"/>
        </w:rPr>
        <w:t xml:space="preserve">fogyasztói </w:t>
      </w:r>
      <w:r w:rsidR="008D0498" w:rsidRPr="00413518">
        <w:rPr>
          <w:rFonts w:ascii="Times New Roman" w:hAnsi="Times New Roman" w:cs="Times New Roman"/>
          <w:sz w:val="24"/>
          <w:szCs w:val="24"/>
        </w:rPr>
        <w:t>árindex</w:t>
      </w:r>
      <w:r w:rsidR="00E23F1B">
        <w:rPr>
          <w:rFonts w:ascii="Times New Roman" w:hAnsi="Times New Roman" w:cs="Times New Roman"/>
          <w:sz w:val="24"/>
          <w:szCs w:val="24"/>
        </w:rPr>
        <w:t xml:space="preserve"> jóval meghaladta azt;</w:t>
      </w:r>
      <w:r w:rsidR="000F30B4">
        <w:rPr>
          <w:rFonts w:ascii="Times New Roman" w:hAnsi="Times New Roman" w:cs="Times New Roman"/>
          <w:sz w:val="24"/>
          <w:szCs w:val="24"/>
        </w:rPr>
        <w:tab/>
      </w:r>
      <w:r w:rsidR="000F30B4">
        <w:rPr>
          <w:rFonts w:ascii="Times New Roman" w:hAnsi="Times New Roman" w:cs="Times New Roman"/>
          <w:sz w:val="24"/>
          <w:szCs w:val="24"/>
        </w:rPr>
        <w:br/>
      </w:r>
      <w:r w:rsidR="000F30B4">
        <w:rPr>
          <w:rFonts w:ascii="Times New Roman" w:hAnsi="Times New Roman" w:cs="Times New Roman"/>
          <w:sz w:val="24"/>
          <w:szCs w:val="24"/>
        </w:rPr>
        <w:tab/>
      </w:r>
      <w:r w:rsidR="00CF6C74" w:rsidRPr="00413518">
        <w:rPr>
          <w:rFonts w:ascii="Times New Roman" w:hAnsi="Times New Roman" w:cs="Times New Roman"/>
          <w:sz w:val="24"/>
          <w:szCs w:val="24"/>
        </w:rPr>
        <w:t xml:space="preserve">(3) a spanyolok felismerték azt a lehetőséget a Monti-javaslatban, hogy ezzel elérhetik </w:t>
      </w:r>
      <w:r w:rsidR="000F30B4">
        <w:rPr>
          <w:rFonts w:ascii="Times New Roman" w:hAnsi="Times New Roman" w:cs="Times New Roman"/>
          <w:sz w:val="24"/>
          <w:szCs w:val="24"/>
        </w:rPr>
        <w:tab/>
      </w:r>
      <w:r w:rsidR="00CF6C74" w:rsidRPr="00413518">
        <w:rPr>
          <w:rFonts w:ascii="Times New Roman" w:hAnsi="Times New Roman" w:cs="Times New Roman"/>
          <w:sz w:val="24"/>
          <w:szCs w:val="24"/>
        </w:rPr>
        <w:t xml:space="preserve">végre, hogy a franciák az energia piacaikat és átviteli hálózataikat megnyithatják az </w:t>
      </w:r>
      <w:r w:rsidR="000F30B4">
        <w:rPr>
          <w:rFonts w:ascii="Times New Roman" w:hAnsi="Times New Roman" w:cs="Times New Roman"/>
          <w:sz w:val="24"/>
          <w:szCs w:val="24"/>
        </w:rPr>
        <w:tab/>
      </w:r>
      <w:r w:rsidR="00E23F1B">
        <w:rPr>
          <w:rFonts w:ascii="Times New Roman" w:hAnsi="Times New Roman" w:cs="Times New Roman"/>
          <w:sz w:val="24"/>
          <w:szCs w:val="24"/>
        </w:rPr>
        <w:t>északi spanyol régiók javára.</w:t>
      </w:r>
      <w:r w:rsidR="000F30B4">
        <w:rPr>
          <w:rFonts w:ascii="Times New Roman" w:hAnsi="Times New Roman" w:cs="Times New Roman"/>
          <w:sz w:val="24"/>
          <w:szCs w:val="24"/>
        </w:rPr>
        <w:tab/>
      </w:r>
      <w:r w:rsidR="000F30B4">
        <w:rPr>
          <w:rFonts w:ascii="Times New Roman" w:hAnsi="Times New Roman" w:cs="Times New Roman"/>
          <w:sz w:val="24"/>
          <w:szCs w:val="24"/>
        </w:rPr>
        <w:br/>
      </w:r>
      <w:r w:rsidR="00CF6C74" w:rsidRPr="00413518">
        <w:rPr>
          <w:rFonts w:ascii="Times New Roman" w:hAnsi="Times New Roman" w:cs="Times New Roman"/>
          <w:sz w:val="24"/>
          <w:szCs w:val="24"/>
        </w:rPr>
        <w:t>A javaslat legfontosabb elemei</w:t>
      </w:r>
      <w:r w:rsidR="000F30B4">
        <w:rPr>
          <w:rFonts w:ascii="Times New Roman" w:hAnsi="Times New Roman" w:cs="Times New Roman"/>
          <w:sz w:val="24"/>
          <w:szCs w:val="24"/>
        </w:rPr>
        <w:t>:</w:t>
      </w:r>
      <w:r w:rsidR="000F30B4">
        <w:rPr>
          <w:rFonts w:ascii="Times New Roman" w:hAnsi="Times New Roman" w:cs="Times New Roman"/>
          <w:sz w:val="24"/>
          <w:szCs w:val="24"/>
        </w:rPr>
        <w:tab/>
      </w:r>
      <w:r w:rsidR="000F30B4">
        <w:rPr>
          <w:rFonts w:ascii="Times New Roman" w:hAnsi="Times New Roman" w:cs="Times New Roman"/>
          <w:sz w:val="24"/>
          <w:szCs w:val="24"/>
        </w:rPr>
        <w:br/>
      </w:r>
      <w:r w:rsidR="000F30B4">
        <w:rPr>
          <w:rFonts w:ascii="Times New Roman" w:hAnsi="Times New Roman" w:cs="Times New Roman"/>
          <w:sz w:val="24"/>
          <w:szCs w:val="24"/>
        </w:rPr>
        <w:tab/>
      </w:r>
      <w:r w:rsidR="001871C9">
        <w:rPr>
          <w:rFonts w:ascii="Times New Roman" w:hAnsi="Times New Roman" w:cs="Times New Roman"/>
          <w:sz w:val="24"/>
          <w:szCs w:val="24"/>
        </w:rPr>
        <w:t>(</w:t>
      </w:r>
      <w:r w:rsidR="000F30B4">
        <w:rPr>
          <w:rFonts w:ascii="Times New Roman" w:hAnsi="Times New Roman" w:cs="Times New Roman"/>
          <w:sz w:val="24"/>
          <w:szCs w:val="24"/>
        </w:rPr>
        <w:t xml:space="preserve">1) </w:t>
      </w:r>
      <w:r w:rsidR="00CF6C74" w:rsidRPr="00413518">
        <w:rPr>
          <w:rFonts w:ascii="Times New Roman" w:hAnsi="Times New Roman" w:cs="Times New Roman"/>
          <w:sz w:val="24"/>
          <w:szCs w:val="24"/>
        </w:rPr>
        <w:t>eltérő közösségi minimális ráták alkalmazása az egyes szektorokban</w:t>
      </w:r>
      <w:r w:rsidR="00CF6C74" w:rsidRPr="00413518">
        <w:rPr>
          <w:rStyle w:val="Lbjegyzet-hivatkozs"/>
          <w:sz w:val="24"/>
          <w:szCs w:val="24"/>
        </w:rPr>
        <w:footnoteReference w:id="40"/>
      </w:r>
      <w:r w:rsidR="000F30B4">
        <w:rPr>
          <w:rFonts w:ascii="Times New Roman" w:hAnsi="Times New Roman" w:cs="Times New Roman"/>
          <w:sz w:val="24"/>
          <w:szCs w:val="24"/>
        </w:rPr>
        <w:t>;</w:t>
      </w:r>
      <w:r w:rsidR="000F30B4">
        <w:rPr>
          <w:rFonts w:ascii="Times New Roman" w:hAnsi="Times New Roman" w:cs="Times New Roman"/>
          <w:sz w:val="24"/>
          <w:szCs w:val="24"/>
        </w:rPr>
        <w:tab/>
      </w:r>
      <w:r w:rsidR="000F30B4">
        <w:rPr>
          <w:rFonts w:ascii="Times New Roman" w:hAnsi="Times New Roman" w:cs="Times New Roman"/>
          <w:sz w:val="24"/>
          <w:szCs w:val="24"/>
        </w:rPr>
        <w:br/>
      </w:r>
      <w:r w:rsidR="000F30B4">
        <w:rPr>
          <w:rFonts w:ascii="Times New Roman" w:hAnsi="Times New Roman" w:cs="Times New Roman"/>
          <w:sz w:val="24"/>
          <w:szCs w:val="24"/>
        </w:rPr>
        <w:tab/>
      </w:r>
      <w:r w:rsidR="00CF6C74" w:rsidRPr="00413518">
        <w:rPr>
          <w:rFonts w:ascii="Times New Roman" w:hAnsi="Times New Roman" w:cs="Times New Roman"/>
          <w:sz w:val="24"/>
          <w:szCs w:val="24"/>
        </w:rPr>
        <w:t>(2)</w:t>
      </w:r>
      <w:r w:rsidR="000F30B4">
        <w:rPr>
          <w:rFonts w:ascii="Times New Roman" w:hAnsi="Times New Roman" w:cs="Times New Roman"/>
          <w:sz w:val="24"/>
          <w:szCs w:val="24"/>
        </w:rPr>
        <w:t xml:space="preserve"> </w:t>
      </w:r>
      <w:r w:rsidR="00CF6C74" w:rsidRPr="00413518">
        <w:rPr>
          <w:rFonts w:ascii="Times New Roman" w:hAnsi="Times New Roman" w:cs="Times New Roman"/>
          <w:sz w:val="24"/>
          <w:szCs w:val="24"/>
        </w:rPr>
        <w:t>a há</w:t>
      </w:r>
      <w:r w:rsidR="007D10B3">
        <w:rPr>
          <w:rFonts w:ascii="Times New Roman" w:hAnsi="Times New Roman" w:cs="Times New Roman"/>
          <w:sz w:val="24"/>
          <w:szCs w:val="24"/>
        </w:rPr>
        <w:t xml:space="preserve">ztartásokra, </w:t>
      </w:r>
      <w:r w:rsidR="00CF6C74" w:rsidRPr="00413518">
        <w:rPr>
          <w:rFonts w:ascii="Times New Roman" w:hAnsi="Times New Roman" w:cs="Times New Roman"/>
          <w:sz w:val="24"/>
          <w:szCs w:val="24"/>
        </w:rPr>
        <w:t>a villamos en</w:t>
      </w:r>
      <w:r w:rsidR="007D10B3">
        <w:rPr>
          <w:rFonts w:ascii="Times New Roman" w:hAnsi="Times New Roman" w:cs="Times New Roman"/>
          <w:sz w:val="24"/>
          <w:szCs w:val="24"/>
        </w:rPr>
        <w:t xml:space="preserve">ergiára és a fűtőolajokra nulla </w:t>
      </w:r>
      <w:r w:rsidR="00CF6C74" w:rsidRPr="00413518">
        <w:rPr>
          <w:rFonts w:ascii="Times New Roman" w:hAnsi="Times New Roman" w:cs="Times New Roman"/>
          <w:sz w:val="24"/>
          <w:szCs w:val="24"/>
        </w:rPr>
        <w:t xml:space="preserve">minimális rátát is </w:t>
      </w:r>
      <w:r w:rsidR="007D10B3">
        <w:rPr>
          <w:rFonts w:ascii="Times New Roman" w:hAnsi="Times New Roman" w:cs="Times New Roman"/>
          <w:sz w:val="24"/>
          <w:szCs w:val="24"/>
        </w:rPr>
        <w:tab/>
      </w:r>
      <w:r w:rsidR="00CF6C74" w:rsidRPr="00413518">
        <w:rPr>
          <w:rFonts w:ascii="Times New Roman" w:hAnsi="Times New Roman" w:cs="Times New Roman"/>
          <w:sz w:val="24"/>
          <w:szCs w:val="24"/>
        </w:rPr>
        <w:t>megállapíthatnak</w:t>
      </w:r>
      <w:r w:rsidR="00CF6C74" w:rsidRPr="00413518">
        <w:rPr>
          <w:rStyle w:val="Lbjegyzet-hivatkozs"/>
          <w:sz w:val="24"/>
          <w:szCs w:val="24"/>
        </w:rPr>
        <w:footnoteReference w:id="41"/>
      </w:r>
      <w:r w:rsidR="007D10B3">
        <w:rPr>
          <w:rFonts w:ascii="Times New Roman" w:hAnsi="Times New Roman" w:cs="Times New Roman"/>
          <w:sz w:val="24"/>
          <w:szCs w:val="24"/>
        </w:rPr>
        <w:t xml:space="preserve"> a tagállamok</w:t>
      </w:r>
      <w:r w:rsidR="000F30B4">
        <w:rPr>
          <w:rFonts w:ascii="Times New Roman" w:hAnsi="Times New Roman" w:cs="Times New Roman"/>
          <w:sz w:val="24"/>
          <w:szCs w:val="24"/>
        </w:rPr>
        <w:t>;</w:t>
      </w:r>
      <w:r w:rsidR="000F30B4">
        <w:rPr>
          <w:rFonts w:ascii="Times New Roman" w:hAnsi="Times New Roman" w:cs="Times New Roman"/>
          <w:sz w:val="24"/>
          <w:szCs w:val="24"/>
        </w:rPr>
        <w:tab/>
      </w:r>
      <w:r w:rsidR="000F30B4">
        <w:rPr>
          <w:rFonts w:ascii="Times New Roman" w:hAnsi="Times New Roman" w:cs="Times New Roman"/>
          <w:sz w:val="24"/>
          <w:szCs w:val="24"/>
        </w:rPr>
        <w:br/>
      </w:r>
      <w:r w:rsidR="000F30B4">
        <w:rPr>
          <w:rFonts w:ascii="Times New Roman" w:hAnsi="Times New Roman" w:cs="Times New Roman"/>
          <w:sz w:val="24"/>
          <w:szCs w:val="24"/>
        </w:rPr>
        <w:tab/>
        <w:t xml:space="preserve">(3) </w:t>
      </w:r>
      <w:r w:rsidR="00CF6C74" w:rsidRPr="00413518">
        <w:rPr>
          <w:rFonts w:ascii="Times New Roman" w:hAnsi="Times New Roman" w:cs="Times New Roman"/>
          <w:sz w:val="24"/>
          <w:szCs w:val="24"/>
        </w:rPr>
        <w:t xml:space="preserve">a tagországoknak lehetősége van a minimális rátáktól magasabb adómérték </w:t>
      </w:r>
      <w:r w:rsidR="000F30B4">
        <w:rPr>
          <w:rFonts w:ascii="Times New Roman" w:hAnsi="Times New Roman" w:cs="Times New Roman"/>
          <w:sz w:val="24"/>
          <w:szCs w:val="24"/>
        </w:rPr>
        <w:tab/>
      </w:r>
      <w:r w:rsidR="00CF6C74" w:rsidRPr="00413518">
        <w:rPr>
          <w:rFonts w:ascii="Times New Roman" w:hAnsi="Times New Roman" w:cs="Times New Roman"/>
          <w:sz w:val="24"/>
          <w:szCs w:val="24"/>
        </w:rPr>
        <w:t>meghatározására</w:t>
      </w:r>
      <w:r w:rsidR="00CF6C74" w:rsidRPr="00413518">
        <w:rPr>
          <w:rStyle w:val="Lbjegyzet-hivatkozs"/>
          <w:sz w:val="24"/>
          <w:szCs w:val="24"/>
        </w:rPr>
        <w:footnoteReference w:id="42"/>
      </w:r>
      <w:r w:rsidR="000F30B4">
        <w:rPr>
          <w:rFonts w:ascii="Times New Roman" w:hAnsi="Times New Roman" w:cs="Times New Roman"/>
          <w:sz w:val="24"/>
          <w:szCs w:val="24"/>
        </w:rPr>
        <w:t>;</w:t>
      </w:r>
      <w:r w:rsidR="000F30B4">
        <w:rPr>
          <w:rFonts w:ascii="Times New Roman" w:hAnsi="Times New Roman" w:cs="Times New Roman"/>
          <w:sz w:val="24"/>
          <w:szCs w:val="24"/>
        </w:rPr>
        <w:tab/>
      </w:r>
      <w:r w:rsidR="000F30B4">
        <w:rPr>
          <w:rFonts w:ascii="Times New Roman" w:hAnsi="Times New Roman" w:cs="Times New Roman"/>
          <w:sz w:val="24"/>
          <w:szCs w:val="24"/>
        </w:rPr>
        <w:br/>
      </w:r>
      <w:r w:rsidR="000F30B4">
        <w:rPr>
          <w:rFonts w:ascii="Times New Roman" w:hAnsi="Times New Roman" w:cs="Times New Roman"/>
          <w:sz w:val="24"/>
          <w:szCs w:val="24"/>
        </w:rPr>
        <w:tab/>
        <w:t xml:space="preserve">(4) </w:t>
      </w:r>
      <w:r w:rsidR="00CF6C74" w:rsidRPr="00413518">
        <w:rPr>
          <w:rFonts w:ascii="Times New Roman" w:hAnsi="Times New Roman" w:cs="Times New Roman"/>
          <w:sz w:val="24"/>
          <w:szCs w:val="24"/>
        </w:rPr>
        <w:t xml:space="preserve">adókedvezményt kaphatnak azon vállalatok vagy ágazatok, melyek önkéntes </w:t>
      </w:r>
      <w:r w:rsidR="000F30B4">
        <w:rPr>
          <w:rFonts w:ascii="Times New Roman" w:hAnsi="Times New Roman" w:cs="Times New Roman"/>
          <w:sz w:val="24"/>
          <w:szCs w:val="24"/>
        </w:rPr>
        <w:lastRenderedPageBreak/>
        <w:tab/>
      </w:r>
      <w:r w:rsidR="00CF6C74" w:rsidRPr="00413518">
        <w:rPr>
          <w:rFonts w:ascii="Times New Roman" w:hAnsi="Times New Roman" w:cs="Times New Roman"/>
          <w:sz w:val="24"/>
          <w:szCs w:val="24"/>
        </w:rPr>
        <w:t xml:space="preserve">megállapodást kötöttek </w:t>
      </w:r>
      <w:r w:rsidR="000F30B4">
        <w:rPr>
          <w:rFonts w:ascii="Times New Roman" w:hAnsi="Times New Roman" w:cs="Times New Roman"/>
          <w:sz w:val="24"/>
          <w:szCs w:val="24"/>
        </w:rPr>
        <w:t xml:space="preserve">a </w:t>
      </w:r>
      <w:r w:rsidR="00CF6C74" w:rsidRPr="00413518">
        <w:rPr>
          <w:rFonts w:ascii="Times New Roman" w:hAnsi="Times New Roman" w:cs="Times New Roman"/>
          <w:sz w:val="24"/>
          <w:szCs w:val="24"/>
        </w:rPr>
        <w:t>környezetvédelmi célok elérése érdekében</w:t>
      </w:r>
      <w:r w:rsidR="00CF6C74" w:rsidRPr="00413518">
        <w:rPr>
          <w:rStyle w:val="Lbjegyzet-hivatkozs"/>
          <w:sz w:val="24"/>
          <w:szCs w:val="24"/>
        </w:rPr>
        <w:footnoteReference w:id="43"/>
      </w:r>
      <w:r w:rsidR="000F30B4">
        <w:rPr>
          <w:rFonts w:ascii="Times New Roman" w:hAnsi="Times New Roman" w:cs="Times New Roman"/>
          <w:sz w:val="24"/>
          <w:szCs w:val="24"/>
        </w:rPr>
        <w:t>;</w:t>
      </w:r>
      <w:r w:rsidR="000F30B4">
        <w:rPr>
          <w:rFonts w:ascii="Times New Roman" w:hAnsi="Times New Roman" w:cs="Times New Roman"/>
          <w:sz w:val="24"/>
          <w:szCs w:val="24"/>
        </w:rPr>
        <w:tab/>
      </w:r>
      <w:r w:rsidR="000F30B4">
        <w:rPr>
          <w:rFonts w:ascii="Times New Roman" w:hAnsi="Times New Roman" w:cs="Times New Roman"/>
          <w:sz w:val="24"/>
          <w:szCs w:val="24"/>
        </w:rPr>
        <w:br/>
      </w:r>
      <w:r w:rsidR="000F30B4">
        <w:rPr>
          <w:rFonts w:ascii="Times New Roman" w:hAnsi="Times New Roman" w:cs="Times New Roman"/>
          <w:sz w:val="24"/>
          <w:szCs w:val="24"/>
        </w:rPr>
        <w:tab/>
      </w:r>
      <w:r w:rsidR="00CF6C74" w:rsidRPr="00413518">
        <w:rPr>
          <w:rFonts w:ascii="Times New Roman" w:hAnsi="Times New Roman" w:cs="Times New Roman"/>
          <w:sz w:val="24"/>
          <w:szCs w:val="24"/>
        </w:rPr>
        <w:t>(5)</w:t>
      </w:r>
      <w:r w:rsidR="000F30B4">
        <w:rPr>
          <w:rFonts w:ascii="Times New Roman" w:hAnsi="Times New Roman" w:cs="Times New Roman"/>
          <w:sz w:val="24"/>
          <w:szCs w:val="24"/>
        </w:rPr>
        <w:t xml:space="preserve"> </w:t>
      </w:r>
      <w:r w:rsidR="00CF6C74" w:rsidRPr="00413518">
        <w:rPr>
          <w:rFonts w:ascii="Times New Roman" w:hAnsi="Times New Roman" w:cs="Times New Roman"/>
          <w:sz w:val="24"/>
          <w:szCs w:val="24"/>
        </w:rPr>
        <w:t xml:space="preserve">a megújuló energiaforrásokból előállított energiára a tagállamok teljes, vagy </w:t>
      </w:r>
      <w:r w:rsidR="000F30B4">
        <w:rPr>
          <w:rFonts w:ascii="Times New Roman" w:hAnsi="Times New Roman" w:cs="Times New Roman"/>
          <w:sz w:val="24"/>
          <w:szCs w:val="24"/>
        </w:rPr>
        <w:tab/>
      </w:r>
      <w:r w:rsidR="00CF6C74" w:rsidRPr="00413518">
        <w:rPr>
          <w:rFonts w:ascii="Times New Roman" w:hAnsi="Times New Roman" w:cs="Times New Roman"/>
          <w:sz w:val="24"/>
          <w:szCs w:val="24"/>
        </w:rPr>
        <w:t>részleges adómentesítést állapít</w:t>
      </w:r>
      <w:r w:rsidR="00460FDE">
        <w:rPr>
          <w:rFonts w:ascii="Times New Roman" w:hAnsi="Times New Roman" w:cs="Times New Roman"/>
          <w:sz w:val="24"/>
          <w:szCs w:val="24"/>
        </w:rPr>
        <w:t>hatnak meg.</w:t>
      </w:r>
      <w:r w:rsidR="000F30B4">
        <w:rPr>
          <w:rFonts w:ascii="Times New Roman" w:hAnsi="Times New Roman" w:cs="Times New Roman"/>
          <w:sz w:val="24"/>
          <w:szCs w:val="24"/>
        </w:rPr>
        <w:tab/>
      </w:r>
      <w:r w:rsidR="000F30B4">
        <w:rPr>
          <w:rFonts w:ascii="Times New Roman" w:hAnsi="Times New Roman" w:cs="Times New Roman"/>
          <w:sz w:val="24"/>
          <w:szCs w:val="24"/>
        </w:rPr>
        <w:br/>
      </w:r>
      <w:r w:rsidR="00CF6C74" w:rsidRPr="00413518">
        <w:rPr>
          <w:rFonts w:ascii="Times New Roman" w:hAnsi="Times New Roman" w:cs="Times New Roman"/>
          <w:sz w:val="24"/>
          <w:szCs w:val="24"/>
        </w:rPr>
        <w:t xml:space="preserve">2002 második felében </w:t>
      </w:r>
      <w:r w:rsidR="00F07551" w:rsidRPr="00413518">
        <w:rPr>
          <w:rFonts w:ascii="Times New Roman" w:hAnsi="Times New Roman" w:cs="Times New Roman"/>
          <w:sz w:val="24"/>
          <w:szCs w:val="24"/>
        </w:rPr>
        <w:t>a soros elnök</w:t>
      </w:r>
      <w:r w:rsidR="00F07551" w:rsidRPr="00413518">
        <w:rPr>
          <w:rFonts w:ascii="Times New Roman" w:hAnsi="Times New Roman" w:cs="Times New Roman"/>
          <w:i/>
          <w:sz w:val="24"/>
          <w:szCs w:val="24"/>
        </w:rPr>
        <w:t xml:space="preserve"> </w:t>
      </w:r>
      <w:r w:rsidR="00CF6C74" w:rsidRPr="00413518">
        <w:rPr>
          <w:rFonts w:ascii="Times New Roman" w:hAnsi="Times New Roman" w:cs="Times New Roman"/>
          <w:i/>
          <w:sz w:val="24"/>
          <w:szCs w:val="24"/>
        </w:rPr>
        <w:t>Dánia</w:t>
      </w:r>
      <w:r w:rsidR="00CF6C74" w:rsidRPr="00413518">
        <w:rPr>
          <w:rFonts w:ascii="Times New Roman" w:hAnsi="Times New Roman" w:cs="Times New Roman"/>
          <w:sz w:val="24"/>
          <w:szCs w:val="24"/>
        </w:rPr>
        <w:t xml:space="preserve"> volt. A dánok folytatták a spanyolok által elkezde</w:t>
      </w:r>
      <w:r w:rsidR="004E7F80">
        <w:rPr>
          <w:rFonts w:ascii="Times New Roman" w:hAnsi="Times New Roman" w:cs="Times New Roman"/>
          <w:sz w:val="24"/>
          <w:szCs w:val="24"/>
        </w:rPr>
        <w:t>tt munkát</w:t>
      </w:r>
      <w:r w:rsidR="00CF6C74" w:rsidRPr="00413518">
        <w:rPr>
          <w:rFonts w:ascii="Times New Roman" w:hAnsi="Times New Roman" w:cs="Times New Roman"/>
          <w:sz w:val="24"/>
          <w:szCs w:val="24"/>
        </w:rPr>
        <w:t xml:space="preserve">. A viták végleges rendezése azért volt </w:t>
      </w:r>
      <w:r w:rsidR="000F30B4">
        <w:rPr>
          <w:rFonts w:ascii="Times New Roman" w:hAnsi="Times New Roman" w:cs="Times New Roman"/>
          <w:sz w:val="24"/>
          <w:szCs w:val="24"/>
        </w:rPr>
        <w:t>fontos</w:t>
      </w:r>
      <w:r w:rsidR="00CF6C74" w:rsidRPr="00413518">
        <w:rPr>
          <w:rFonts w:ascii="Times New Roman" w:hAnsi="Times New Roman" w:cs="Times New Roman"/>
          <w:sz w:val="24"/>
          <w:szCs w:val="24"/>
        </w:rPr>
        <w:t xml:space="preserve">, </w:t>
      </w:r>
      <w:r w:rsidR="000F30B4">
        <w:rPr>
          <w:rFonts w:ascii="Times New Roman" w:hAnsi="Times New Roman" w:cs="Times New Roman"/>
          <w:sz w:val="24"/>
          <w:szCs w:val="24"/>
        </w:rPr>
        <w:t>mert</w:t>
      </w:r>
      <w:r w:rsidR="00CF6C74" w:rsidRPr="00413518">
        <w:rPr>
          <w:rFonts w:ascii="Times New Roman" w:hAnsi="Times New Roman" w:cs="Times New Roman"/>
          <w:sz w:val="24"/>
          <w:szCs w:val="24"/>
        </w:rPr>
        <w:t xml:space="preserve"> egyrészt közelgett az EU történelmének legnagyobb </w:t>
      </w:r>
      <w:r w:rsidR="000F30B4">
        <w:rPr>
          <w:rFonts w:ascii="Times New Roman" w:hAnsi="Times New Roman" w:cs="Times New Roman"/>
          <w:sz w:val="24"/>
          <w:szCs w:val="24"/>
        </w:rPr>
        <w:t>tagfelvétele</w:t>
      </w:r>
      <w:r w:rsidR="00CF6C74" w:rsidRPr="00413518">
        <w:rPr>
          <w:rFonts w:ascii="Times New Roman" w:hAnsi="Times New Roman" w:cs="Times New Roman"/>
          <w:sz w:val="24"/>
          <w:szCs w:val="24"/>
        </w:rPr>
        <w:t>, másrészt a dánok után a soros elnökség intézményét betöltő görög, ír és olasz elnökségek programjában az energiaadó kevés figyelmet kapott</w:t>
      </w:r>
      <w:r w:rsidR="00CF6C74" w:rsidRPr="00413518">
        <w:rPr>
          <w:rStyle w:val="Lbjegyzet-hivatkozs"/>
          <w:sz w:val="24"/>
          <w:szCs w:val="24"/>
        </w:rPr>
        <w:footnoteReference w:id="44"/>
      </w:r>
      <w:r w:rsidR="00CF6C74" w:rsidRPr="00413518">
        <w:rPr>
          <w:rFonts w:ascii="Times New Roman" w:hAnsi="Times New Roman" w:cs="Times New Roman"/>
          <w:sz w:val="24"/>
          <w:szCs w:val="24"/>
        </w:rPr>
        <w:t>.  A dánok egy olyan javaslatot terjesztett</w:t>
      </w:r>
      <w:r w:rsidR="007D10B3">
        <w:rPr>
          <w:rFonts w:ascii="Times New Roman" w:hAnsi="Times New Roman" w:cs="Times New Roman"/>
          <w:sz w:val="24"/>
          <w:szCs w:val="24"/>
        </w:rPr>
        <w:t>ek elő, amely tartalmazta, hogy:</w:t>
      </w:r>
      <w:r w:rsidR="007D10B3">
        <w:rPr>
          <w:rFonts w:ascii="Times New Roman" w:hAnsi="Times New Roman" w:cs="Times New Roman"/>
          <w:sz w:val="24"/>
          <w:szCs w:val="24"/>
        </w:rPr>
        <w:tab/>
      </w:r>
      <w:r w:rsidR="007D10B3">
        <w:rPr>
          <w:rFonts w:ascii="Times New Roman" w:hAnsi="Times New Roman" w:cs="Times New Roman"/>
          <w:sz w:val="24"/>
          <w:szCs w:val="24"/>
        </w:rPr>
        <w:br/>
      </w:r>
      <w:r w:rsidR="007D10B3">
        <w:rPr>
          <w:rFonts w:ascii="Times New Roman" w:hAnsi="Times New Roman" w:cs="Times New Roman"/>
          <w:sz w:val="24"/>
          <w:szCs w:val="24"/>
        </w:rPr>
        <w:tab/>
      </w:r>
      <w:r w:rsidR="00CF6C74" w:rsidRPr="00413518">
        <w:rPr>
          <w:rFonts w:ascii="Times New Roman" w:hAnsi="Times New Roman" w:cs="Times New Roman"/>
          <w:sz w:val="24"/>
          <w:szCs w:val="24"/>
        </w:rPr>
        <w:t>(1) a nem üzleti felhasználású dízel üzemanyag adója tovább növekszik</w:t>
      </w:r>
      <w:r w:rsidR="00CF6C74" w:rsidRPr="00413518">
        <w:rPr>
          <w:rStyle w:val="Lbjegyzet-hivatkozs"/>
          <w:sz w:val="24"/>
          <w:szCs w:val="24"/>
        </w:rPr>
        <w:footnoteReference w:id="45"/>
      </w:r>
      <w:r w:rsidR="00E23F1B">
        <w:rPr>
          <w:rFonts w:ascii="Times New Roman" w:hAnsi="Times New Roman" w:cs="Times New Roman"/>
          <w:sz w:val="24"/>
          <w:szCs w:val="24"/>
        </w:rPr>
        <w:t>;</w:t>
      </w:r>
      <w:r w:rsidR="000F30B4">
        <w:rPr>
          <w:rFonts w:ascii="Times New Roman" w:hAnsi="Times New Roman" w:cs="Times New Roman"/>
          <w:sz w:val="24"/>
          <w:szCs w:val="24"/>
        </w:rPr>
        <w:tab/>
      </w:r>
      <w:r w:rsidR="000F30B4">
        <w:rPr>
          <w:rFonts w:ascii="Times New Roman" w:hAnsi="Times New Roman" w:cs="Times New Roman"/>
          <w:sz w:val="24"/>
          <w:szCs w:val="24"/>
        </w:rPr>
        <w:br/>
      </w:r>
      <w:r w:rsidR="000F30B4">
        <w:rPr>
          <w:rFonts w:ascii="Times New Roman" w:hAnsi="Times New Roman" w:cs="Times New Roman"/>
          <w:sz w:val="24"/>
          <w:szCs w:val="24"/>
        </w:rPr>
        <w:tab/>
      </w:r>
      <w:r w:rsidR="00CF6C74" w:rsidRPr="00413518">
        <w:rPr>
          <w:rFonts w:ascii="Times New Roman" w:hAnsi="Times New Roman" w:cs="Times New Roman"/>
          <w:sz w:val="24"/>
          <w:szCs w:val="24"/>
        </w:rPr>
        <w:t xml:space="preserve">(2) meghatározták a villamos energiánál a nem üzleti fogyasztók és az üzleti </w:t>
      </w:r>
      <w:r w:rsidR="000F30B4">
        <w:rPr>
          <w:rFonts w:ascii="Times New Roman" w:hAnsi="Times New Roman" w:cs="Times New Roman"/>
          <w:sz w:val="24"/>
          <w:szCs w:val="24"/>
        </w:rPr>
        <w:tab/>
      </w:r>
      <w:r w:rsidR="00CF6C74" w:rsidRPr="00413518">
        <w:rPr>
          <w:rFonts w:ascii="Times New Roman" w:hAnsi="Times New Roman" w:cs="Times New Roman"/>
          <w:sz w:val="24"/>
          <w:szCs w:val="24"/>
        </w:rPr>
        <w:t>fogyasztók számára előírt adó mennyiségét</w:t>
      </w:r>
      <w:r w:rsidR="00CF6C74" w:rsidRPr="00413518">
        <w:rPr>
          <w:rStyle w:val="Lbjegyzet-hivatkozs"/>
          <w:sz w:val="24"/>
          <w:szCs w:val="24"/>
        </w:rPr>
        <w:footnoteReference w:id="46"/>
      </w:r>
      <w:r w:rsidR="000F30B4">
        <w:rPr>
          <w:rFonts w:ascii="Times New Roman" w:hAnsi="Times New Roman" w:cs="Times New Roman"/>
          <w:sz w:val="24"/>
          <w:szCs w:val="24"/>
        </w:rPr>
        <w:t>;</w:t>
      </w:r>
      <w:r w:rsidR="000F30B4">
        <w:rPr>
          <w:rFonts w:ascii="Times New Roman" w:hAnsi="Times New Roman" w:cs="Times New Roman"/>
          <w:sz w:val="24"/>
          <w:szCs w:val="24"/>
        </w:rPr>
        <w:tab/>
      </w:r>
      <w:r w:rsidR="000F30B4">
        <w:rPr>
          <w:rFonts w:ascii="Times New Roman" w:hAnsi="Times New Roman" w:cs="Times New Roman"/>
          <w:sz w:val="24"/>
          <w:szCs w:val="24"/>
        </w:rPr>
        <w:br/>
      </w:r>
      <w:r w:rsidR="000F30B4">
        <w:rPr>
          <w:rFonts w:ascii="Times New Roman" w:hAnsi="Times New Roman" w:cs="Times New Roman"/>
          <w:sz w:val="24"/>
          <w:szCs w:val="24"/>
        </w:rPr>
        <w:tab/>
      </w:r>
      <w:r w:rsidR="00CF6C74" w:rsidRPr="00413518">
        <w:rPr>
          <w:rFonts w:ascii="Times New Roman" w:hAnsi="Times New Roman" w:cs="Times New Roman"/>
          <w:sz w:val="24"/>
          <w:szCs w:val="24"/>
        </w:rPr>
        <w:t>(3) valamint egy oldal terjedelemben felsorolták a mentesít</w:t>
      </w:r>
      <w:r w:rsidR="007D10B3">
        <w:rPr>
          <w:rFonts w:ascii="Times New Roman" w:hAnsi="Times New Roman" w:cs="Times New Roman"/>
          <w:sz w:val="24"/>
          <w:szCs w:val="24"/>
        </w:rPr>
        <w:t>éseket</w:t>
      </w:r>
      <w:r w:rsidR="003F0514">
        <w:rPr>
          <w:rFonts w:ascii="Times New Roman" w:hAnsi="Times New Roman" w:cs="Times New Roman"/>
          <w:sz w:val="24"/>
          <w:szCs w:val="24"/>
        </w:rPr>
        <w:t>.</w:t>
      </w:r>
      <w:r w:rsidR="003F0514">
        <w:rPr>
          <w:rFonts w:ascii="Times New Roman" w:hAnsi="Times New Roman" w:cs="Times New Roman"/>
          <w:sz w:val="24"/>
          <w:szCs w:val="24"/>
        </w:rPr>
        <w:tab/>
      </w:r>
      <w:r w:rsidR="003F0514">
        <w:rPr>
          <w:rFonts w:ascii="Times New Roman" w:hAnsi="Times New Roman" w:cs="Times New Roman"/>
          <w:sz w:val="24"/>
          <w:szCs w:val="24"/>
        </w:rPr>
        <w:br/>
      </w:r>
      <w:r w:rsidR="00CF6C74" w:rsidRPr="00413518">
        <w:rPr>
          <w:rFonts w:ascii="Times New Roman" w:hAnsi="Times New Roman" w:cs="Times New Roman"/>
          <w:sz w:val="24"/>
          <w:szCs w:val="24"/>
        </w:rPr>
        <w:t xml:space="preserve">Az év végén </w:t>
      </w:r>
      <w:r w:rsidR="00CF6C74" w:rsidRPr="00413518">
        <w:rPr>
          <w:rFonts w:ascii="Times New Roman" w:hAnsi="Times New Roman" w:cs="Times New Roman"/>
          <w:i/>
          <w:sz w:val="24"/>
          <w:szCs w:val="24"/>
        </w:rPr>
        <w:t>ECOFIN</w:t>
      </w:r>
      <w:r w:rsidR="00CF6C74" w:rsidRPr="00413518">
        <w:rPr>
          <w:rStyle w:val="Lbjegyzet-hivatkozs"/>
          <w:sz w:val="24"/>
          <w:szCs w:val="24"/>
        </w:rPr>
        <w:footnoteReference w:id="47"/>
      </w:r>
      <w:r w:rsidR="00CF6C74" w:rsidRPr="00413518">
        <w:rPr>
          <w:rFonts w:ascii="Times New Roman" w:hAnsi="Times New Roman" w:cs="Times New Roman"/>
          <w:sz w:val="24"/>
          <w:szCs w:val="24"/>
        </w:rPr>
        <w:t xml:space="preserve"> találkozót tartottak, ahol a németek megvétózták a javaslatot azzal az indokkal, hogy nem volt elég ambiciózus. Mivel a kérdés megválaszolatlan maradt, a következő ECOFIN ülésre kellett halasztani, amelyet a görög soros elnökség alatt 2003. január 21-én tartottak meg, Brüsszelben. Sajnálatos módon ismét el kellett halasztani a vitát, hiszen egyéb kérdések</w:t>
      </w:r>
      <w:r w:rsidR="007D10B3">
        <w:rPr>
          <w:rFonts w:ascii="Times New Roman" w:hAnsi="Times New Roman" w:cs="Times New Roman"/>
          <w:sz w:val="24"/>
          <w:szCs w:val="24"/>
        </w:rPr>
        <w:t xml:space="preserve"> kaptak szót</w:t>
      </w:r>
      <w:r w:rsidR="00460FDE">
        <w:rPr>
          <w:rFonts w:ascii="Times New Roman" w:hAnsi="Times New Roman" w:cs="Times New Roman"/>
          <w:sz w:val="24"/>
          <w:szCs w:val="24"/>
        </w:rPr>
        <w:t xml:space="preserve"> az ülésen.</w:t>
      </w:r>
      <w:r w:rsidR="000B6D2B" w:rsidRPr="00413518">
        <w:rPr>
          <w:rFonts w:ascii="Times New Roman" w:hAnsi="Times New Roman" w:cs="Times New Roman"/>
          <w:sz w:val="24"/>
          <w:szCs w:val="24"/>
        </w:rPr>
        <w:tab/>
      </w:r>
      <w:r w:rsidR="00CF6C74" w:rsidRPr="00413518">
        <w:rPr>
          <w:rFonts w:ascii="Times New Roman" w:hAnsi="Times New Roman" w:cs="Times New Roman"/>
          <w:sz w:val="24"/>
          <w:szCs w:val="24"/>
        </w:rPr>
        <w:br/>
      </w:r>
      <w:r w:rsidR="00CF6C74" w:rsidRPr="00413518">
        <w:rPr>
          <w:rFonts w:ascii="Times New Roman" w:hAnsi="Times New Roman" w:cs="Times New Roman"/>
          <w:sz w:val="24"/>
          <w:szCs w:val="24"/>
        </w:rPr>
        <w:tab/>
      </w:r>
      <w:r w:rsidR="00CF6C74" w:rsidRPr="00413518">
        <w:rPr>
          <w:rFonts w:ascii="Times New Roman" w:hAnsi="Times New Roman" w:cs="Times New Roman"/>
          <w:i/>
          <w:sz w:val="24"/>
          <w:szCs w:val="24"/>
        </w:rPr>
        <w:t>2003. március 20</w:t>
      </w:r>
      <w:r w:rsidR="00CF6C74" w:rsidRPr="00413518">
        <w:rPr>
          <w:rFonts w:ascii="Times New Roman" w:hAnsi="Times New Roman" w:cs="Times New Roman"/>
          <w:sz w:val="24"/>
          <w:szCs w:val="24"/>
        </w:rPr>
        <w:t xml:space="preserve">-án azonban végül sikerült megegyezni a tagállamoknak az előterjesztett energiaadó szabályozásban, amely keretjelleggel rendelkezett és rendelkezik ma is, és a következő 10 évre rendezte/ rendezi az energiaadó szabályozásával kapcsolatos kérdéseket, rögzíti az adó minimum </w:t>
      </w:r>
      <w:r w:rsidR="001871C9">
        <w:rPr>
          <w:rFonts w:ascii="Times New Roman" w:hAnsi="Times New Roman" w:cs="Times New Roman"/>
          <w:sz w:val="24"/>
          <w:szCs w:val="24"/>
        </w:rPr>
        <w:t>m</w:t>
      </w:r>
      <w:r w:rsidR="00CF6C74" w:rsidRPr="00413518">
        <w:rPr>
          <w:rFonts w:ascii="Times New Roman" w:hAnsi="Times New Roman" w:cs="Times New Roman"/>
          <w:sz w:val="24"/>
          <w:szCs w:val="24"/>
        </w:rPr>
        <w:t>értékét az energiatermékekre. Korszakalkotó abból a szempontból, hogy az adóköteles termékek körét az ásványi olajról kiterjesztette egyéb energiatermékekre</w:t>
      </w:r>
      <w:r w:rsidR="00BB44BE">
        <w:rPr>
          <w:rStyle w:val="Lbjegyzet-hivatkozs"/>
          <w:sz w:val="24"/>
          <w:szCs w:val="24"/>
        </w:rPr>
        <w:footnoteReference w:id="48"/>
      </w:r>
      <w:r w:rsidR="00BB44BE">
        <w:rPr>
          <w:rFonts w:ascii="Times New Roman" w:hAnsi="Times New Roman" w:cs="Times New Roman"/>
          <w:sz w:val="24"/>
          <w:szCs w:val="24"/>
        </w:rPr>
        <w:t xml:space="preserve">. </w:t>
      </w:r>
      <w:r w:rsidR="00CF6C74" w:rsidRPr="00413518">
        <w:rPr>
          <w:rFonts w:ascii="Times New Roman" w:hAnsi="Times New Roman" w:cs="Times New Roman"/>
          <w:sz w:val="24"/>
          <w:szCs w:val="24"/>
        </w:rPr>
        <w:t>Miután a tagállamok közös nevezőre jutottak az EP munkája következett, hiszen a javaslatot ide küldték tovább konzultációra</w:t>
      </w:r>
      <w:r w:rsidR="00CF6C74" w:rsidRPr="00413518">
        <w:rPr>
          <w:rStyle w:val="Lbjegyzet-hivatkozs"/>
          <w:sz w:val="24"/>
          <w:szCs w:val="24"/>
        </w:rPr>
        <w:footnoteReference w:id="49"/>
      </w:r>
      <w:r w:rsidR="00CF6C74" w:rsidRPr="00413518">
        <w:rPr>
          <w:rFonts w:ascii="Times New Roman" w:hAnsi="Times New Roman" w:cs="Times New Roman"/>
          <w:sz w:val="24"/>
          <w:szCs w:val="24"/>
        </w:rPr>
        <w:t xml:space="preserve"> és elérte végleges formáját egy irányelvben, amely 200</w:t>
      </w:r>
      <w:r w:rsidR="00460FDE">
        <w:rPr>
          <w:rFonts w:ascii="Times New Roman" w:hAnsi="Times New Roman" w:cs="Times New Roman"/>
          <w:sz w:val="24"/>
          <w:szCs w:val="24"/>
        </w:rPr>
        <w:t>4. január 1-én lépett hatályba.</w:t>
      </w:r>
      <w:r w:rsidR="00BB44BE">
        <w:rPr>
          <w:rFonts w:ascii="Times New Roman" w:hAnsi="Times New Roman" w:cs="Times New Roman"/>
          <w:sz w:val="24"/>
          <w:szCs w:val="24"/>
        </w:rPr>
        <w:tab/>
      </w:r>
      <w:bookmarkStart w:id="5" w:name="_Toc340927911"/>
    </w:p>
    <w:p w:rsidR="004E7F80" w:rsidRDefault="00BB44BE" w:rsidP="00DE55B8">
      <w:pPr>
        <w:spacing w:line="360" w:lineRule="auto"/>
        <w:jc w:val="both"/>
        <w:rPr>
          <w:rFonts w:ascii="Times New Roman" w:hAnsi="Times New Roman" w:cs="Times New Roman"/>
          <w:sz w:val="24"/>
          <w:szCs w:val="24"/>
        </w:rPr>
      </w:pPr>
      <w:r w:rsidRPr="00DE55B8">
        <w:rPr>
          <w:rStyle w:val="Cmsor2Char"/>
          <w:rFonts w:ascii="Times New Roman" w:hAnsi="Times New Roman" w:cs="Times New Roman"/>
        </w:rPr>
        <w:lastRenderedPageBreak/>
        <w:t>II. 2. A direktíva, mint a szupranacionális szabályozás alapja</w:t>
      </w:r>
      <w:bookmarkEnd w:id="5"/>
      <w:r w:rsidRPr="00DE55B8">
        <w:rPr>
          <w:rStyle w:val="Cmsor2Char"/>
          <w:rFonts w:ascii="Times New Roman" w:hAnsi="Times New Roman" w:cs="Times New Roman"/>
        </w:rPr>
        <w:tab/>
      </w:r>
      <w:r w:rsidRPr="00DE55B8">
        <w:rPr>
          <w:rStyle w:val="Cmsor2Char"/>
          <w:rFonts w:ascii="Times New Roman" w:hAnsi="Times New Roman" w:cs="Times New Roman"/>
        </w:rPr>
        <w:br/>
      </w:r>
      <w:r>
        <w:rPr>
          <w:rFonts w:ascii="Times New Roman" w:hAnsi="Times New Roman" w:cs="Times New Roman"/>
          <w:sz w:val="24"/>
          <w:szCs w:val="24"/>
        </w:rPr>
        <w:br/>
      </w:r>
      <w:r>
        <w:rPr>
          <w:rFonts w:ascii="Times New Roman" w:hAnsi="Times New Roman" w:cs="Times New Roman"/>
          <w:sz w:val="24"/>
          <w:szCs w:val="24"/>
        </w:rPr>
        <w:tab/>
      </w:r>
      <w:r w:rsidR="00CF6C74" w:rsidRPr="00413518">
        <w:rPr>
          <w:rFonts w:ascii="Times New Roman" w:hAnsi="Times New Roman" w:cs="Times New Roman"/>
          <w:sz w:val="24"/>
          <w:szCs w:val="24"/>
        </w:rPr>
        <w:t>A 2003-ban elfogadott irányelv megteremtette az adó keretjellegű szabályozását. A tagállamoknak 2003. december 31-ig kellett eleget tenniük az implementálási kötelezettségüknek, hiszen 2004. január 1-én hatályba lépett a jogszabály</w:t>
      </w:r>
      <w:r w:rsidR="00CF6C74" w:rsidRPr="00413518">
        <w:rPr>
          <w:rStyle w:val="Lbjegyzet-hivatkozs"/>
          <w:sz w:val="24"/>
          <w:szCs w:val="24"/>
        </w:rPr>
        <w:footnoteReference w:id="50"/>
      </w:r>
      <w:r w:rsidR="00CF6C74" w:rsidRPr="00413518">
        <w:rPr>
          <w:rFonts w:ascii="Times New Roman" w:hAnsi="Times New Roman" w:cs="Times New Roman"/>
          <w:sz w:val="24"/>
          <w:szCs w:val="24"/>
        </w:rPr>
        <w:t>. Mivel 2004. május 1-én 10 új tagállam csatlakozott az EU-hoz, a jogszabályi környezet</w:t>
      </w:r>
      <w:r w:rsidR="00CF6C74" w:rsidRPr="00413518">
        <w:rPr>
          <w:rStyle w:val="Lbjegyzet-hivatkozs"/>
          <w:sz w:val="24"/>
          <w:szCs w:val="24"/>
        </w:rPr>
        <w:footnoteReference w:id="51"/>
      </w:r>
      <w:r w:rsidR="00CF6C74" w:rsidRPr="00413518">
        <w:rPr>
          <w:rFonts w:ascii="Times New Roman" w:hAnsi="Times New Roman" w:cs="Times New Roman"/>
          <w:sz w:val="24"/>
          <w:szCs w:val="24"/>
        </w:rPr>
        <w:t xml:space="preserve"> lehetőséget biztosított arra, hogy átmeneti mentességeket, kedvezményeket alkalmazhassanak. Összességében azt mondhatjuk, hogy a tagállamok maradéktalanul eleget tettek ezen kötelezettségüknek,</w:t>
      </w:r>
      <w:r w:rsidR="004B3313">
        <w:rPr>
          <w:rFonts w:ascii="Times New Roman" w:hAnsi="Times New Roman" w:cs="Times New Roman"/>
          <w:sz w:val="24"/>
          <w:szCs w:val="24"/>
        </w:rPr>
        <w:t xml:space="preserve"> egy kivételével. Lengyelország </w:t>
      </w:r>
      <w:r w:rsidR="00CF6C74" w:rsidRPr="00413518">
        <w:rPr>
          <w:rFonts w:ascii="Times New Roman" w:hAnsi="Times New Roman" w:cs="Times New Roman"/>
          <w:sz w:val="24"/>
          <w:szCs w:val="24"/>
        </w:rPr>
        <w:t>2006. január 1-ig vállalta, hogy a villamos energiára vonatkozó adórendszerét összehangolja az unióssal. Az új tagállam a megjelölt határnap után sem tudott ennek eleget tenni és vele szemben az Európai Bíróság előtt kötelezettségszegési eljárást indítottak. A Bíróság 2009-ben hozta meg az országgal szemben az eljárás végét jelentő ítéletet, amely rendelkező részében tartalmazta a kötelezettségszegés megállapításá</w:t>
      </w:r>
      <w:r w:rsidR="004B3313">
        <w:rPr>
          <w:rFonts w:ascii="Times New Roman" w:hAnsi="Times New Roman" w:cs="Times New Roman"/>
          <w:sz w:val="24"/>
          <w:szCs w:val="24"/>
        </w:rPr>
        <w:t>t.</w:t>
      </w:r>
      <w:r w:rsidR="00CF6C74" w:rsidRPr="00413518">
        <w:rPr>
          <w:rStyle w:val="Lbjegyzet-hivatkozs"/>
          <w:sz w:val="24"/>
          <w:szCs w:val="24"/>
        </w:rPr>
        <w:footnoteReference w:id="52"/>
      </w:r>
      <w:r w:rsidR="00CF6C74" w:rsidRPr="00413518">
        <w:rPr>
          <w:rFonts w:ascii="Times New Roman" w:hAnsi="Times New Roman" w:cs="Times New Roman"/>
          <w:sz w:val="24"/>
          <w:szCs w:val="24"/>
        </w:rPr>
        <w:tab/>
      </w:r>
      <w:r w:rsidR="00CF6C74" w:rsidRPr="00413518">
        <w:rPr>
          <w:rFonts w:ascii="Times New Roman" w:hAnsi="Times New Roman" w:cs="Times New Roman"/>
          <w:sz w:val="24"/>
          <w:szCs w:val="24"/>
        </w:rPr>
        <w:br/>
      </w:r>
      <w:r w:rsidR="00CF6C74" w:rsidRPr="00413518">
        <w:rPr>
          <w:rFonts w:ascii="Times New Roman" w:hAnsi="Times New Roman" w:cs="Times New Roman"/>
          <w:sz w:val="24"/>
          <w:szCs w:val="24"/>
        </w:rPr>
        <w:tab/>
        <w:t>Az irányelv pre</w:t>
      </w:r>
      <w:r w:rsidR="004B3313">
        <w:rPr>
          <w:rFonts w:ascii="Times New Roman" w:hAnsi="Times New Roman" w:cs="Times New Roman"/>
          <w:sz w:val="24"/>
          <w:szCs w:val="24"/>
        </w:rPr>
        <w:t>ambuluma m</w:t>
      </w:r>
      <w:r w:rsidR="00CF6C74" w:rsidRPr="00413518">
        <w:rPr>
          <w:rFonts w:ascii="Times New Roman" w:hAnsi="Times New Roman" w:cs="Times New Roman"/>
          <w:sz w:val="24"/>
          <w:szCs w:val="24"/>
        </w:rPr>
        <w:t xml:space="preserve">eghatározza, hogy </w:t>
      </w:r>
      <w:r w:rsidR="004B3313">
        <w:rPr>
          <w:rFonts w:ascii="Times New Roman" w:hAnsi="Times New Roman" w:cs="Times New Roman"/>
          <w:sz w:val="24"/>
          <w:szCs w:val="24"/>
        </w:rPr>
        <w:t xml:space="preserve">milyen </w:t>
      </w:r>
      <w:r w:rsidR="00CF6C74" w:rsidRPr="00413518">
        <w:rPr>
          <w:rFonts w:ascii="Times New Roman" w:hAnsi="Times New Roman" w:cs="Times New Roman"/>
          <w:sz w:val="24"/>
          <w:szCs w:val="24"/>
        </w:rPr>
        <w:t>körn</w:t>
      </w:r>
      <w:r w:rsidR="004B3313">
        <w:rPr>
          <w:rFonts w:ascii="Times New Roman" w:hAnsi="Times New Roman" w:cs="Times New Roman"/>
          <w:sz w:val="24"/>
          <w:szCs w:val="24"/>
        </w:rPr>
        <w:t xml:space="preserve">yezetvédelmi követelményeket </w:t>
      </w:r>
      <w:r w:rsidR="00CF6C74" w:rsidRPr="00413518">
        <w:rPr>
          <w:rFonts w:ascii="Times New Roman" w:hAnsi="Times New Roman" w:cs="Times New Roman"/>
          <w:sz w:val="24"/>
          <w:szCs w:val="24"/>
        </w:rPr>
        <w:t xml:space="preserve">kell </w:t>
      </w:r>
      <w:r w:rsidR="004B3313">
        <w:rPr>
          <w:rFonts w:ascii="Times New Roman" w:hAnsi="Times New Roman" w:cs="Times New Roman"/>
          <w:sz w:val="24"/>
          <w:szCs w:val="24"/>
        </w:rPr>
        <w:t>be</w:t>
      </w:r>
      <w:r w:rsidR="00CF6C74" w:rsidRPr="00413518">
        <w:rPr>
          <w:rFonts w:ascii="Times New Roman" w:hAnsi="Times New Roman" w:cs="Times New Roman"/>
          <w:sz w:val="24"/>
          <w:szCs w:val="24"/>
        </w:rPr>
        <w:t>építeni az egyéb uniós politikákba, illetve azok végrehajtásába. Ezzel párhuzamosan meg kell szüntetni az egyes nemzeti szabályozások közötti</w:t>
      </w:r>
      <w:r w:rsidR="004521B6">
        <w:rPr>
          <w:rFonts w:ascii="Times New Roman" w:hAnsi="Times New Roman" w:cs="Times New Roman"/>
          <w:sz w:val="24"/>
          <w:szCs w:val="24"/>
        </w:rPr>
        <w:t xml:space="preserve"> eltéréseket</w:t>
      </w:r>
      <w:r w:rsidR="00CF6C74" w:rsidRPr="00413518">
        <w:rPr>
          <w:rFonts w:ascii="Times New Roman" w:hAnsi="Times New Roman" w:cs="Times New Roman"/>
          <w:sz w:val="24"/>
          <w:szCs w:val="24"/>
        </w:rPr>
        <w:t>, hiszen ez a belső piac nem megfelelő működéséhez, a versenyszabályok torzul</w:t>
      </w:r>
      <w:r w:rsidR="004B3313">
        <w:rPr>
          <w:rFonts w:ascii="Times New Roman" w:hAnsi="Times New Roman" w:cs="Times New Roman"/>
          <w:sz w:val="24"/>
          <w:szCs w:val="24"/>
        </w:rPr>
        <w:t xml:space="preserve">ásához és a </w:t>
      </w:r>
      <w:r w:rsidR="00CF6C74" w:rsidRPr="00413518">
        <w:rPr>
          <w:rFonts w:ascii="Times New Roman" w:hAnsi="Times New Roman" w:cs="Times New Roman"/>
          <w:sz w:val="24"/>
          <w:szCs w:val="24"/>
        </w:rPr>
        <w:t xml:space="preserve">jogbiztonságának </w:t>
      </w:r>
      <w:r w:rsidR="004B3313">
        <w:rPr>
          <w:rFonts w:ascii="Times New Roman" w:hAnsi="Times New Roman" w:cs="Times New Roman"/>
          <w:sz w:val="24"/>
          <w:szCs w:val="24"/>
        </w:rPr>
        <w:t>hiányához</w:t>
      </w:r>
      <w:r w:rsidR="00CF6C74" w:rsidRPr="00413518">
        <w:rPr>
          <w:rFonts w:ascii="Times New Roman" w:hAnsi="Times New Roman" w:cs="Times New Roman"/>
          <w:sz w:val="24"/>
          <w:szCs w:val="24"/>
        </w:rPr>
        <w:t xml:space="preserve"> vezethet</w:t>
      </w:r>
      <w:r w:rsidR="00CF6C74" w:rsidRPr="00413518">
        <w:rPr>
          <w:rStyle w:val="Lbjegyzet-hivatkozs"/>
          <w:sz w:val="24"/>
          <w:szCs w:val="24"/>
        </w:rPr>
        <w:footnoteReference w:id="53"/>
      </w:r>
      <w:r w:rsidR="003F0514">
        <w:rPr>
          <w:rFonts w:ascii="Times New Roman" w:hAnsi="Times New Roman" w:cs="Times New Roman"/>
          <w:sz w:val="24"/>
          <w:szCs w:val="24"/>
        </w:rPr>
        <w:t xml:space="preserve">. </w:t>
      </w:r>
      <w:r w:rsidR="00CF6C74" w:rsidRPr="00413518">
        <w:rPr>
          <w:rFonts w:ascii="Times New Roman" w:hAnsi="Times New Roman" w:cs="Times New Roman"/>
          <w:sz w:val="24"/>
          <w:szCs w:val="24"/>
        </w:rPr>
        <w:t>A szabályozás összehangolása érdekében meghatározza az egyes energiatermékekre kivetendő adó minimum mértékét és ezáltal részben rögzítik az egyes energiatermékek árát is</w:t>
      </w:r>
      <w:r w:rsidR="00CF6C74" w:rsidRPr="00413518">
        <w:rPr>
          <w:rStyle w:val="Lbjegyzet-hivatkozs"/>
          <w:sz w:val="24"/>
          <w:szCs w:val="24"/>
        </w:rPr>
        <w:footnoteReference w:id="54"/>
      </w:r>
      <w:r w:rsidR="00CF6C74" w:rsidRPr="00413518">
        <w:rPr>
          <w:rFonts w:ascii="Times New Roman" w:hAnsi="Times New Roman" w:cs="Times New Roman"/>
          <w:sz w:val="24"/>
          <w:szCs w:val="24"/>
        </w:rPr>
        <w:t xml:space="preserve">. Felhívja a tagállamok figyelmét arra is, hogy fontos az adóalanyok között különbséget tenni aszerint, hogy üzleti, vagy nem üzleti felhasználásról van-e szó az adott energiatermék vonatkozásában, különösen a dízelüzemanyag </w:t>
      </w:r>
      <w:r w:rsidR="002042A3">
        <w:rPr>
          <w:rFonts w:ascii="Times New Roman" w:hAnsi="Times New Roman" w:cs="Times New Roman"/>
          <w:sz w:val="24"/>
          <w:szCs w:val="24"/>
        </w:rPr>
        <w:t>esetén kell meg</w:t>
      </w:r>
      <w:r w:rsidR="00CF6C74" w:rsidRPr="00413518">
        <w:rPr>
          <w:rFonts w:ascii="Times New Roman" w:hAnsi="Times New Roman" w:cs="Times New Roman"/>
          <w:sz w:val="24"/>
          <w:szCs w:val="24"/>
        </w:rPr>
        <w:t>határozni, hogy az kereskedelmi, vagy nem kereskedelmi</w:t>
      </w:r>
      <w:r w:rsidR="00CF6C74" w:rsidRPr="00413518">
        <w:rPr>
          <w:rStyle w:val="Lbjegyzet-hivatkozs"/>
          <w:sz w:val="24"/>
          <w:szCs w:val="24"/>
        </w:rPr>
        <w:footnoteReference w:id="55"/>
      </w:r>
      <w:r w:rsidR="00CF6C74" w:rsidRPr="00413518">
        <w:rPr>
          <w:rFonts w:ascii="Times New Roman" w:hAnsi="Times New Roman" w:cs="Times New Roman"/>
          <w:sz w:val="24"/>
          <w:szCs w:val="24"/>
        </w:rPr>
        <w:t xml:space="preserve">. Az irányelv preambuluma az utolsó bekezdéseiben rögzíti, hogy lehetőség van kedvezményeket, átmeneti időszakokat igényelni és a nagy energiaintenzitású vállalkozásokkal szemben különleges bánásmódot kell alkalmazni. Szükséges olyan eljárás előírása is, amely meghatározott időszakra engedélyezi a tagállamoknak egyéb mentességek </w:t>
      </w:r>
      <w:r w:rsidR="00CF6C74" w:rsidRPr="00413518">
        <w:rPr>
          <w:rFonts w:ascii="Times New Roman" w:hAnsi="Times New Roman" w:cs="Times New Roman"/>
          <w:sz w:val="24"/>
          <w:szCs w:val="24"/>
        </w:rPr>
        <w:lastRenderedPageBreak/>
        <w:t>vagy kedvezményes adómértékek bevezetését</w:t>
      </w:r>
      <w:r w:rsidR="00CF6C74" w:rsidRPr="00413518">
        <w:rPr>
          <w:rStyle w:val="Lbjegyzet-hivatkozs"/>
          <w:sz w:val="24"/>
          <w:szCs w:val="24"/>
        </w:rPr>
        <w:footnoteReference w:id="56"/>
      </w:r>
      <w:r w:rsidR="00460FDE">
        <w:rPr>
          <w:rFonts w:ascii="Times New Roman" w:hAnsi="Times New Roman" w:cs="Times New Roman"/>
          <w:sz w:val="24"/>
          <w:szCs w:val="24"/>
        </w:rPr>
        <w:t>.</w:t>
      </w:r>
      <w:r w:rsidR="00CF6C74" w:rsidRPr="00413518">
        <w:rPr>
          <w:rFonts w:ascii="Times New Roman" w:hAnsi="Times New Roman" w:cs="Times New Roman"/>
          <w:sz w:val="24"/>
          <w:szCs w:val="24"/>
        </w:rPr>
        <w:tab/>
      </w:r>
      <w:r w:rsidR="00CF6C74" w:rsidRPr="00413518">
        <w:rPr>
          <w:rFonts w:ascii="Times New Roman" w:hAnsi="Times New Roman" w:cs="Times New Roman"/>
          <w:sz w:val="24"/>
          <w:szCs w:val="24"/>
        </w:rPr>
        <w:br/>
      </w:r>
      <w:r w:rsidR="00CF6C74" w:rsidRPr="00413518">
        <w:rPr>
          <w:rFonts w:ascii="Times New Roman" w:hAnsi="Times New Roman" w:cs="Times New Roman"/>
          <w:sz w:val="24"/>
          <w:szCs w:val="24"/>
        </w:rPr>
        <w:tab/>
        <w:t>Az adózás tárgyát a villamos energia és az energiatermékek vonatkozásában határozza meg az irányelv</w:t>
      </w:r>
      <w:r w:rsidR="00CF6C74" w:rsidRPr="00413518">
        <w:rPr>
          <w:rStyle w:val="Lbjegyzet-hivatkozs"/>
          <w:sz w:val="24"/>
          <w:szCs w:val="24"/>
        </w:rPr>
        <w:footnoteReference w:id="57"/>
      </w:r>
      <w:r w:rsidR="00CF6C74" w:rsidRPr="00413518">
        <w:rPr>
          <w:rFonts w:ascii="Times New Roman" w:hAnsi="Times New Roman" w:cs="Times New Roman"/>
          <w:sz w:val="24"/>
          <w:szCs w:val="24"/>
        </w:rPr>
        <w:t>. Az energiatermékeket csak felsorolás szintjén említi meg, a Kombinált Nómenklatúrában használt jellel ellátva, hiszen ezen Nómenklatúráról szóló rendelet</w:t>
      </w:r>
      <w:r w:rsidR="00CF6C74" w:rsidRPr="00413518">
        <w:rPr>
          <w:rStyle w:val="Lbjegyzet-hivatkozs"/>
          <w:sz w:val="24"/>
          <w:szCs w:val="24"/>
        </w:rPr>
        <w:footnoteReference w:id="58"/>
      </w:r>
      <w:r w:rsidR="00CF6C74" w:rsidRPr="00413518">
        <w:rPr>
          <w:rFonts w:ascii="Times New Roman" w:hAnsi="Times New Roman" w:cs="Times New Roman"/>
          <w:sz w:val="24"/>
          <w:szCs w:val="24"/>
        </w:rPr>
        <w:t xml:space="preserve"> tartalmazza pontosan a</w:t>
      </w:r>
      <w:r w:rsidR="003F0514">
        <w:rPr>
          <w:rFonts w:ascii="Times New Roman" w:hAnsi="Times New Roman" w:cs="Times New Roman"/>
          <w:sz w:val="24"/>
          <w:szCs w:val="24"/>
        </w:rPr>
        <w:t xml:space="preserve"> </w:t>
      </w:r>
      <w:r w:rsidR="00CF6C74" w:rsidRPr="00413518">
        <w:rPr>
          <w:rFonts w:ascii="Times New Roman" w:hAnsi="Times New Roman" w:cs="Times New Roman"/>
          <w:sz w:val="24"/>
          <w:szCs w:val="24"/>
        </w:rPr>
        <w:t>termékek leírását. Mivel Magyarországon a Jöt. szabályozza az ásványolajokra vonatkozó adókötelezettséget, így az egyes energiatermékek vonatkozásában csak a villamos energia, a szén, és a földgáz a</w:t>
      </w:r>
      <w:r w:rsidR="003F0514">
        <w:rPr>
          <w:rFonts w:ascii="Times New Roman" w:hAnsi="Times New Roman" w:cs="Times New Roman"/>
          <w:sz w:val="24"/>
          <w:szCs w:val="24"/>
        </w:rPr>
        <w:t>dóköteles hazánkban.</w:t>
      </w:r>
      <w:r w:rsidR="00CF6C74" w:rsidRPr="00413518">
        <w:rPr>
          <w:rFonts w:ascii="Times New Roman" w:hAnsi="Times New Roman" w:cs="Times New Roman"/>
          <w:sz w:val="24"/>
          <w:szCs w:val="24"/>
        </w:rPr>
        <w:tab/>
      </w:r>
      <w:r w:rsidR="00CF6C74" w:rsidRPr="00413518">
        <w:rPr>
          <w:rFonts w:ascii="Times New Roman" w:hAnsi="Times New Roman" w:cs="Times New Roman"/>
          <w:sz w:val="24"/>
          <w:szCs w:val="24"/>
        </w:rPr>
        <w:br/>
      </w:r>
      <w:r w:rsidR="00CF6C74" w:rsidRPr="00413518">
        <w:rPr>
          <w:rFonts w:ascii="Times New Roman" w:hAnsi="Times New Roman" w:cs="Times New Roman"/>
          <w:sz w:val="24"/>
          <w:szCs w:val="24"/>
        </w:rPr>
        <w:tab/>
        <w:t>A tagálla</w:t>
      </w:r>
      <w:r w:rsidR="003F0514">
        <w:rPr>
          <w:rFonts w:ascii="Times New Roman" w:hAnsi="Times New Roman" w:cs="Times New Roman"/>
          <w:sz w:val="24"/>
          <w:szCs w:val="24"/>
        </w:rPr>
        <w:t xml:space="preserve">mokban a minimum adómértéket a direktíva </w:t>
      </w:r>
      <w:r w:rsidR="00CF6C74" w:rsidRPr="00413518">
        <w:rPr>
          <w:rFonts w:ascii="Times New Roman" w:hAnsi="Times New Roman" w:cs="Times New Roman"/>
          <w:sz w:val="24"/>
          <w:szCs w:val="24"/>
        </w:rPr>
        <w:t>határozza meg, amely azt jelenti, hogy az adómértéke nem lehet alacsonyabb az egyes energiatermékekre meghatározott minimum mértéktől. Az adómértékek az</w:t>
      </w:r>
      <w:r w:rsidR="004521B6">
        <w:rPr>
          <w:rFonts w:ascii="Times New Roman" w:hAnsi="Times New Roman" w:cs="Times New Roman"/>
          <w:sz w:val="24"/>
          <w:szCs w:val="24"/>
        </w:rPr>
        <w:t xml:space="preserve"> évek folyamán változhatnak, </w:t>
      </w:r>
      <w:r w:rsidR="00CF6C74" w:rsidRPr="00413518">
        <w:rPr>
          <w:rFonts w:ascii="Times New Roman" w:hAnsi="Times New Roman" w:cs="Times New Roman"/>
          <w:sz w:val="24"/>
          <w:szCs w:val="24"/>
        </w:rPr>
        <w:t>az energiatermékek már szabad forgalomba bocsátott készleteinél is</w:t>
      </w:r>
      <w:r w:rsidR="00CF6C74" w:rsidRPr="00413518">
        <w:rPr>
          <w:rStyle w:val="Lbjegyzet-hivatkozs"/>
          <w:sz w:val="24"/>
          <w:szCs w:val="24"/>
        </w:rPr>
        <w:footnoteReference w:id="59"/>
      </w:r>
      <w:r w:rsidR="00CF6C74" w:rsidRPr="00413518">
        <w:rPr>
          <w:rFonts w:ascii="Times New Roman" w:hAnsi="Times New Roman" w:cs="Times New Roman"/>
          <w:sz w:val="24"/>
          <w:szCs w:val="24"/>
        </w:rPr>
        <w:t>. Természetesen lehetősége van a tagállamoknak, hogy eltérő adómértéket állapítsanak meg, de ezt csakis úgy tehetik meg</w:t>
      </w:r>
      <w:r w:rsidR="002042A3">
        <w:rPr>
          <w:rFonts w:ascii="Times New Roman" w:hAnsi="Times New Roman" w:cs="Times New Roman"/>
          <w:sz w:val="24"/>
          <w:szCs w:val="24"/>
        </w:rPr>
        <w:t>, hogy ha tiszteletben tartják a</w:t>
      </w:r>
      <w:r w:rsidR="00CF6C74" w:rsidRPr="00413518">
        <w:rPr>
          <w:rFonts w:ascii="Times New Roman" w:hAnsi="Times New Roman" w:cs="Times New Roman"/>
          <w:sz w:val="24"/>
          <w:szCs w:val="24"/>
        </w:rPr>
        <w:t>z irányelv szellemiségét, kiváltképp a minimum adómértéket</w:t>
      </w:r>
      <w:r w:rsidR="00CF6C74" w:rsidRPr="00413518">
        <w:rPr>
          <w:rStyle w:val="Lbjegyzet-hivatkozs"/>
          <w:sz w:val="24"/>
          <w:szCs w:val="24"/>
        </w:rPr>
        <w:footnoteReference w:id="60"/>
      </w:r>
      <w:r w:rsidR="00CF6C74" w:rsidRPr="00413518">
        <w:rPr>
          <w:rFonts w:ascii="Times New Roman" w:hAnsi="Times New Roman" w:cs="Times New Roman"/>
          <w:sz w:val="24"/>
          <w:szCs w:val="24"/>
        </w:rPr>
        <w:t xml:space="preserve">. Ezzel összefüggésben lehetőség van a mérték alól mentességek, kedvezmények megadására, amelynek módját </w:t>
      </w:r>
      <w:r w:rsidR="003F0514">
        <w:rPr>
          <w:rFonts w:ascii="Times New Roman" w:hAnsi="Times New Roman" w:cs="Times New Roman"/>
          <w:sz w:val="24"/>
          <w:szCs w:val="24"/>
        </w:rPr>
        <w:t>a tagállamok válogathatják meg:</w:t>
      </w:r>
      <w:r w:rsidR="003F0514">
        <w:rPr>
          <w:rFonts w:ascii="Times New Roman" w:hAnsi="Times New Roman" w:cs="Times New Roman"/>
          <w:sz w:val="24"/>
          <w:szCs w:val="24"/>
        </w:rPr>
        <w:tab/>
      </w:r>
      <w:r w:rsidR="003F0514">
        <w:rPr>
          <w:rFonts w:ascii="Times New Roman" w:hAnsi="Times New Roman" w:cs="Times New Roman"/>
          <w:sz w:val="24"/>
          <w:szCs w:val="24"/>
        </w:rPr>
        <w:br/>
      </w:r>
      <w:r w:rsidR="003F0514">
        <w:rPr>
          <w:rFonts w:ascii="Times New Roman" w:hAnsi="Times New Roman" w:cs="Times New Roman"/>
          <w:sz w:val="24"/>
          <w:szCs w:val="24"/>
        </w:rPr>
        <w:tab/>
        <w:t xml:space="preserve">(1) közvetlen </w:t>
      </w:r>
      <w:r w:rsidR="004B3313">
        <w:rPr>
          <w:rFonts w:ascii="Times New Roman" w:hAnsi="Times New Roman" w:cs="Times New Roman"/>
          <w:sz w:val="24"/>
          <w:szCs w:val="24"/>
        </w:rPr>
        <w:t>módon</w:t>
      </w:r>
      <w:r w:rsidR="003F0514">
        <w:rPr>
          <w:rFonts w:ascii="Times New Roman" w:hAnsi="Times New Roman" w:cs="Times New Roman"/>
          <w:sz w:val="24"/>
          <w:szCs w:val="24"/>
        </w:rPr>
        <w:t>;</w:t>
      </w:r>
      <w:r w:rsidR="003F0514">
        <w:rPr>
          <w:rFonts w:ascii="Times New Roman" w:hAnsi="Times New Roman" w:cs="Times New Roman"/>
          <w:sz w:val="24"/>
          <w:szCs w:val="24"/>
        </w:rPr>
        <w:tab/>
      </w:r>
      <w:r w:rsidR="003F0514">
        <w:rPr>
          <w:rFonts w:ascii="Times New Roman" w:hAnsi="Times New Roman" w:cs="Times New Roman"/>
          <w:sz w:val="24"/>
          <w:szCs w:val="24"/>
        </w:rPr>
        <w:br/>
      </w:r>
      <w:r w:rsidR="003F0514">
        <w:rPr>
          <w:rFonts w:ascii="Times New Roman" w:hAnsi="Times New Roman" w:cs="Times New Roman"/>
          <w:sz w:val="24"/>
          <w:szCs w:val="24"/>
        </w:rPr>
        <w:tab/>
        <w:t>(2) eltérő adómérték révén;</w:t>
      </w:r>
      <w:r w:rsidR="003F0514">
        <w:rPr>
          <w:rFonts w:ascii="Times New Roman" w:hAnsi="Times New Roman" w:cs="Times New Roman"/>
          <w:sz w:val="24"/>
          <w:szCs w:val="24"/>
        </w:rPr>
        <w:tab/>
      </w:r>
      <w:r w:rsidR="003F0514">
        <w:rPr>
          <w:rFonts w:ascii="Times New Roman" w:hAnsi="Times New Roman" w:cs="Times New Roman"/>
          <w:sz w:val="24"/>
          <w:szCs w:val="24"/>
        </w:rPr>
        <w:br/>
      </w:r>
      <w:r w:rsidR="003F0514">
        <w:rPr>
          <w:rFonts w:ascii="Times New Roman" w:hAnsi="Times New Roman" w:cs="Times New Roman"/>
          <w:sz w:val="24"/>
          <w:szCs w:val="24"/>
        </w:rPr>
        <w:tab/>
      </w:r>
      <w:r w:rsidR="00CF6C74" w:rsidRPr="00413518">
        <w:rPr>
          <w:rFonts w:ascii="Times New Roman" w:hAnsi="Times New Roman" w:cs="Times New Roman"/>
          <w:sz w:val="24"/>
          <w:szCs w:val="24"/>
        </w:rPr>
        <w:t xml:space="preserve">(3) a megfizetett adó egészének, vagy </w:t>
      </w:r>
      <w:r w:rsidR="003F0514">
        <w:rPr>
          <w:rFonts w:ascii="Times New Roman" w:hAnsi="Times New Roman" w:cs="Times New Roman"/>
          <w:sz w:val="24"/>
          <w:szCs w:val="24"/>
        </w:rPr>
        <w:t>egy részének visszatérítésével.</w:t>
      </w:r>
      <w:r w:rsidR="003F0514">
        <w:rPr>
          <w:rFonts w:ascii="Times New Roman" w:hAnsi="Times New Roman" w:cs="Times New Roman"/>
          <w:sz w:val="24"/>
          <w:szCs w:val="24"/>
        </w:rPr>
        <w:tab/>
      </w:r>
      <w:r w:rsidR="003F0514">
        <w:rPr>
          <w:rFonts w:ascii="Times New Roman" w:hAnsi="Times New Roman" w:cs="Times New Roman"/>
          <w:sz w:val="24"/>
          <w:szCs w:val="24"/>
        </w:rPr>
        <w:br/>
      </w:r>
      <w:r w:rsidR="00CF6C74" w:rsidRPr="00413518">
        <w:rPr>
          <w:rFonts w:ascii="Times New Roman" w:hAnsi="Times New Roman" w:cs="Times New Roman"/>
          <w:sz w:val="24"/>
          <w:szCs w:val="24"/>
        </w:rPr>
        <w:t xml:space="preserve">A 15. cikk tartalmazza azokat az energiatermékeket és az azokhoz kapcsolódó tevékenységeket, amelyek vonatkozásában adómentesség, vagy átmeneti időszak igényelhető </w:t>
      </w:r>
      <w:r w:rsidR="003F0514">
        <w:rPr>
          <w:rFonts w:ascii="Times New Roman" w:hAnsi="Times New Roman" w:cs="Times New Roman"/>
          <w:sz w:val="24"/>
          <w:szCs w:val="24"/>
        </w:rPr>
        <w:t xml:space="preserve">az </w:t>
      </w:r>
      <w:r w:rsidR="00CF6C74" w:rsidRPr="00413518">
        <w:rPr>
          <w:rFonts w:ascii="Times New Roman" w:hAnsi="Times New Roman" w:cs="Times New Roman"/>
          <w:sz w:val="24"/>
          <w:szCs w:val="24"/>
        </w:rPr>
        <w:t>adott tagállam által. Kivétel nélkül minden tagállam élt, vagy jelenleg is él ilyenekkel. Ma</w:t>
      </w:r>
      <w:r w:rsidR="002042A3">
        <w:rPr>
          <w:rFonts w:ascii="Times New Roman" w:hAnsi="Times New Roman" w:cs="Times New Roman"/>
          <w:sz w:val="24"/>
          <w:szCs w:val="24"/>
        </w:rPr>
        <w:t xml:space="preserve">ga a jogszabály teszi lehetővé, </w:t>
      </w:r>
      <w:r w:rsidR="00CF6C74" w:rsidRPr="00413518">
        <w:rPr>
          <w:rFonts w:ascii="Times New Roman" w:hAnsi="Times New Roman" w:cs="Times New Roman"/>
          <w:sz w:val="24"/>
          <w:szCs w:val="24"/>
        </w:rPr>
        <w:t xml:space="preserve">hogy a jogalkotáskor meghatározott mentességeken és kedvezményeken felül a tagállamok – ha indokoltnak tartják – továbbiakat igényelhessenek. Bármely tagállam jogosult ilyen intézkedéseket bevezetni, de mielőtt ezt megtennék </w:t>
      </w:r>
      <w:r w:rsidR="00CF6C74" w:rsidRPr="00413518">
        <w:rPr>
          <w:rFonts w:ascii="Times New Roman" w:hAnsi="Times New Roman" w:cs="Times New Roman"/>
          <w:sz w:val="24"/>
          <w:szCs w:val="24"/>
        </w:rPr>
        <w:lastRenderedPageBreak/>
        <w:t>legalizálni kell az uniós intézményekkel.</w:t>
      </w:r>
      <w:r w:rsidR="00CF6C74" w:rsidRPr="00413518">
        <w:rPr>
          <w:rStyle w:val="Lbjegyzet-hivatkozs"/>
          <w:sz w:val="24"/>
          <w:szCs w:val="24"/>
        </w:rPr>
        <w:footnoteReference w:id="61"/>
      </w:r>
      <w:r w:rsidR="00CF6C74" w:rsidRPr="00413518">
        <w:rPr>
          <w:rFonts w:ascii="Times New Roman" w:hAnsi="Times New Roman" w:cs="Times New Roman"/>
          <w:sz w:val="24"/>
          <w:szCs w:val="24"/>
        </w:rPr>
        <w:t xml:space="preserve"> </w:t>
      </w:r>
      <w:r w:rsidR="004E7F80">
        <w:rPr>
          <w:rFonts w:ascii="Times New Roman" w:hAnsi="Times New Roman" w:cs="Times New Roman"/>
          <w:sz w:val="24"/>
          <w:szCs w:val="24"/>
        </w:rPr>
        <w:t>Az energiaadó irányelv a</w:t>
      </w:r>
      <w:r w:rsidR="00CF6C74" w:rsidRPr="00413518">
        <w:rPr>
          <w:rFonts w:ascii="Times New Roman" w:hAnsi="Times New Roman" w:cs="Times New Roman"/>
          <w:sz w:val="24"/>
          <w:szCs w:val="24"/>
        </w:rPr>
        <w:t xml:space="preserve"> mentességek, kedvezmények taxatív felsorolását a </w:t>
      </w:r>
      <w:r w:rsidR="004E7F80">
        <w:rPr>
          <w:rFonts w:ascii="Times New Roman" w:hAnsi="Times New Roman" w:cs="Times New Roman"/>
          <w:sz w:val="24"/>
          <w:szCs w:val="24"/>
        </w:rPr>
        <w:t>18. cikkében</w:t>
      </w:r>
      <w:r w:rsidR="00CF6C74" w:rsidRPr="00413518">
        <w:rPr>
          <w:rFonts w:ascii="Times New Roman" w:hAnsi="Times New Roman" w:cs="Times New Roman"/>
          <w:sz w:val="24"/>
          <w:szCs w:val="24"/>
        </w:rPr>
        <w:t xml:space="preserve"> tartalmazza a megalkotása idején tagállami ranggal rendelkező európai országok számára. A 2004. május 1-én újonnan csatlakozó 10 tagállam számára a 2004/74/EK irányelv tartalmazza ezeket.</w:t>
      </w:r>
      <w:r w:rsidR="006709E7">
        <w:rPr>
          <w:rStyle w:val="Lbjegyzet-hivatkozs"/>
          <w:sz w:val="24"/>
          <w:szCs w:val="24"/>
        </w:rPr>
        <w:footnoteReference w:id="62"/>
      </w:r>
      <w:r w:rsidR="00CF6C74" w:rsidRPr="00413518">
        <w:rPr>
          <w:rFonts w:ascii="Times New Roman" w:hAnsi="Times New Roman" w:cs="Times New Roman"/>
          <w:sz w:val="24"/>
          <w:szCs w:val="24"/>
        </w:rPr>
        <w:t xml:space="preserve"> Magyarország</w:t>
      </w:r>
      <w:r w:rsidR="00435108">
        <w:rPr>
          <w:rFonts w:ascii="Times New Roman" w:hAnsi="Times New Roman" w:cs="Times New Roman"/>
          <w:sz w:val="24"/>
          <w:szCs w:val="24"/>
        </w:rPr>
        <w:t xml:space="preserve"> esetén </w:t>
      </w:r>
      <w:r w:rsidR="00CF6C74" w:rsidRPr="00413518">
        <w:rPr>
          <w:rFonts w:ascii="Times New Roman" w:hAnsi="Times New Roman" w:cs="Times New Roman"/>
          <w:sz w:val="24"/>
          <w:szCs w:val="24"/>
        </w:rPr>
        <w:t>a 2004-es irányelv 1</w:t>
      </w:r>
      <w:r w:rsidR="00435108">
        <w:rPr>
          <w:rFonts w:ascii="Times New Roman" w:hAnsi="Times New Roman" w:cs="Times New Roman"/>
          <w:sz w:val="24"/>
          <w:szCs w:val="24"/>
        </w:rPr>
        <w:t>. cikké</w:t>
      </w:r>
      <w:r w:rsidR="00CF6C74" w:rsidRPr="00413518">
        <w:rPr>
          <w:rFonts w:ascii="Times New Roman" w:hAnsi="Times New Roman" w:cs="Times New Roman"/>
          <w:sz w:val="24"/>
          <w:szCs w:val="24"/>
        </w:rPr>
        <w:t>nek (7) bekezdése tartalmaz</w:t>
      </w:r>
      <w:r w:rsidR="00435108">
        <w:rPr>
          <w:rFonts w:ascii="Times New Roman" w:hAnsi="Times New Roman" w:cs="Times New Roman"/>
          <w:sz w:val="24"/>
          <w:szCs w:val="24"/>
        </w:rPr>
        <w:t>za ezeket</w:t>
      </w:r>
      <w:r w:rsidR="00CF6C74" w:rsidRPr="00413518">
        <w:rPr>
          <w:rFonts w:ascii="Times New Roman" w:hAnsi="Times New Roman" w:cs="Times New Roman"/>
          <w:sz w:val="24"/>
          <w:szCs w:val="24"/>
        </w:rPr>
        <w:t>, amely szerint: átmeneti időszakkal rendelkezett Magyarország 2010. január 1-ig a távfűtési célokra felhasznált villamos energiára, földgázra, szénre és kokszra megállapított adómérték vonatkozásában</w:t>
      </w:r>
      <w:r w:rsidR="00CF6C74" w:rsidRPr="00413518">
        <w:rPr>
          <w:rStyle w:val="Lbjegyzet-hivatkozs"/>
          <w:sz w:val="24"/>
          <w:szCs w:val="24"/>
        </w:rPr>
        <w:footnoteReference w:id="63"/>
      </w:r>
      <w:r w:rsidR="00CF6C74" w:rsidRPr="00413518">
        <w:rPr>
          <w:rFonts w:ascii="Times New Roman" w:hAnsi="Times New Roman" w:cs="Times New Roman"/>
          <w:sz w:val="24"/>
          <w:szCs w:val="24"/>
        </w:rPr>
        <w:t>. Szintén kedvezményünk volt a 2008. december 31-ig tartó átmeneti ment</w:t>
      </w:r>
      <w:r w:rsidR="002042A3">
        <w:rPr>
          <w:rFonts w:ascii="Times New Roman" w:hAnsi="Times New Roman" w:cs="Times New Roman"/>
          <w:sz w:val="24"/>
          <w:szCs w:val="24"/>
        </w:rPr>
        <w:t xml:space="preserve">ességünkkel </w:t>
      </w:r>
      <w:r w:rsidR="00CF6C74" w:rsidRPr="00413518">
        <w:rPr>
          <w:rFonts w:ascii="Times New Roman" w:hAnsi="Times New Roman" w:cs="Times New Roman"/>
          <w:sz w:val="24"/>
          <w:szCs w:val="24"/>
        </w:rPr>
        <w:t>a szén megadóztatásával kapcsolatban. Az adórendszerünket az unióshoz kellett igazítanunk, így kezdetben 5 éven keresztül a szén adómentes termék volt, amely 2009. január 1-t</w:t>
      </w:r>
      <w:r w:rsidR="00460FDE">
        <w:rPr>
          <w:rFonts w:ascii="Times New Roman" w:hAnsi="Times New Roman" w:cs="Times New Roman"/>
          <w:sz w:val="24"/>
          <w:szCs w:val="24"/>
        </w:rPr>
        <w:t>ől elveszítette adómentességét.</w:t>
      </w:r>
      <w:r w:rsidR="00460FDE">
        <w:rPr>
          <w:rFonts w:ascii="Times New Roman" w:hAnsi="Times New Roman" w:cs="Times New Roman"/>
          <w:sz w:val="24"/>
          <w:szCs w:val="24"/>
        </w:rPr>
        <w:tab/>
      </w:r>
      <w:r w:rsidR="004E7F80">
        <w:rPr>
          <w:rFonts w:ascii="Times New Roman" w:hAnsi="Times New Roman" w:cs="Times New Roman"/>
          <w:sz w:val="24"/>
          <w:szCs w:val="24"/>
        </w:rPr>
        <w:br/>
      </w:r>
      <w:r w:rsidR="004E7F80">
        <w:rPr>
          <w:rFonts w:ascii="Times New Roman" w:hAnsi="Times New Roman" w:cs="Times New Roman"/>
          <w:sz w:val="24"/>
          <w:szCs w:val="24"/>
        </w:rPr>
        <w:tab/>
        <w:t xml:space="preserve">Jól látható, hogy a fentebbi cikkek a </w:t>
      </w:r>
      <w:r w:rsidR="00CF6C74" w:rsidRPr="00413518">
        <w:rPr>
          <w:rFonts w:ascii="Times New Roman" w:hAnsi="Times New Roman" w:cs="Times New Roman"/>
          <w:sz w:val="24"/>
          <w:szCs w:val="24"/>
        </w:rPr>
        <w:t>’90-es évek óta tartó vitákban elhangzott megoldásokat tartalmazzák</w:t>
      </w:r>
      <w:r w:rsidR="00435108">
        <w:rPr>
          <w:rFonts w:ascii="Times New Roman" w:hAnsi="Times New Roman" w:cs="Times New Roman"/>
          <w:sz w:val="24"/>
          <w:szCs w:val="24"/>
        </w:rPr>
        <w:t>, végre gyakorlati szempontok szerint</w:t>
      </w:r>
      <w:r w:rsidR="00DE55B8">
        <w:rPr>
          <w:rFonts w:ascii="Times New Roman" w:hAnsi="Times New Roman" w:cs="Times New Roman"/>
          <w:sz w:val="24"/>
          <w:szCs w:val="24"/>
        </w:rPr>
        <w:t xml:space="preserve">. </w:t>
      </w:r>
      <w:r w:rsidR="00CF6C74" w:rsidRPr="00413518">
        <w:rPr>
          <w:rFonts w:ascii="Times New Roman" w:hAnsi="Times New Roman" w:cs="Times New Roman"/>
          <w:sz w:val="24"/>
          <w:szCs w:val="24"/>
        </w:rPr>
        <w:t>A 7. cikktől kezdve hosszasan tartalmazza az irányelv az egyes energiahordozók vonatkozásában, hogy mely tevékenységek bírnak adókötelezettséggel, és sorolja fel, hogy melyik melléklet határozza meg a tevékenysége</w:t>
      </w:r>
      <w:r w:rsidR="002042A3">
        <w:rPr>
          <w:rFonts w:ascii="Times New Roman" w:hAnsi="Times New Roman" w:cs="Times New Roman"/>
          <w:sz w:val="24"/>
          <w:szCs w:val="24"/>
        </w:rPr>
        <w:t xml:space="preserve">kre előírt adómérték minimumát. </w:t>
      </w:r>
      <w:r w:rsidR="00CF6C74" w:rsidRPr="00413518">
        <w:rPr>
          <w:rFonts w:ascii="Times New Roman" w:hAnsi="Times New Roman" w:cs="Times New Roman"/>
          <w:sz w:val="24"/>
          <w:szCs w:val="24"/>
        </w:rPr>
        <w:t xml:space="preserve">A záró rendelkezések tartalmazzák a hatályba lépéssel, az implementálási kötelezettséggel kapcsolatos előírásokat. A tagállamok számára egy jelentős kötelezettséget is rögzít a jogszabály, miszerint minden év január 1-én tájékoztatási kötelezettség terheli őket a Bizottság részére az energiaadó mértékében beállt változásokról és a </w:t>
      </w:r>
      <w:r w:rsidR="00986992">
        <w:rPr>
          <w:rFonts w:ascii="Times New Roman" w:hAnsi="Times New Roman" w:cs="Times New Roman"/>
          <w:sz w:val="24"/>
          <w:szCs w:val="24"/>
        </w:rPr>
        <w:t xml:space="preserve">vonatkozó jogszabályi környezet </w:t>
      </w:r>
      <w:r w:rsidR="00CF6C74" w:rsidRPr="00413518">
        <w:rPr>
          <w:rFonts w:ascii="Times New Roman" w:hAnsi="Times New Roman" w:cs="Times New Roman"/>
          <w:sz w:val="24"/>
          <w:szCs w:val="24"/>
        </w:rPr>
        <w:t>változás</w:t>
      </w:r>
      <w:r w:rsidR="00986992">
        <w:rPr>
          <w:rFonts w:ascii="Times New Roman" w:hAnsi="Times New Roman" w:cs="Times New Roman"/>
          <w:sz w:val="24"/>
          <w:szCs w:val="24"/>
        </w:rPr>
        <w:t>á</w:t>
      </w:r>
      <w:r w:rsidR="00CF6C74" w:rsidRPr="00413518">
        <w:rPr>
          <w:rFonts w:ascii="Times New Roman" w:hAnsi="Times New Roman" w:cs="Times New Roman"/>
          <w:sz w:val="24"/>
          <w:szCs w:val="24"/>
        </w:rPr>
        <w:t>ról</w:t>
      </w:r>
      <w:r w:rsidR="00CF6C74" w:rsidRPr="00413518">
        <w:rPr>
          <w:rStyle w:val="Lbjegyzet-hivatkozs"/>
          <w:sz w:val="24"/>
          <w:szCs w:val="24"/>
        </w:rPr>
        <w:footnoteReference w:id="64"/>
      </w:r>
      <w:r w:rsidR="00CF6C74" w:rsidRPr="00413518">
        <w:rPr>
          <w:rFonts w:ascii="Times New Roman" w:hAnsi="Times New Roman" w:cs="Times New Roman"/>
          <w:sz w:val="24"/>
          <w:szCs w:val="24"/>
        </w:rPr>
        <w:t>. Tulajdonképpen ezáltal is rögzül, hogy az energiaadó kérdéskörében a Bizottság rendelkezik a legnagyobb potenciállal</w:t>
      </w:r>
      <w:r w:rsidR="00CF6C74" w:rsidRPr="00413518">
        <w:rPr>
          <w:rStyle w:val="Lbjegyzet-hivatkozs"/>
          <w:sz w:val="24"/>
          <w:szCs w:val="24"/>
        </w:rPr>
        <w:footnoteReference w:id="65"/>
      </w:r>
      <w:bookmarkStart w:id="6" w:name="_Toc340927912"/>
    </w:p>
    <w:p w:rsidR="00C60259" w:rsidRPr="00413518" w:rsidRDefault="00DE55B8" w:rsidP="00DE55B8">
      <w:pPr>
        <w:spacing w:line="360" w:lineRule="auto"/>
        <w:jc w:val="both"/>
        <w:rPr>
          <w:rFonts w:ascii="Times New Roman" w:hAnsi="Times New Roman" w:cs="Times New Roman"/>
          <w:sz w:val="24"/>
          <w:szCs w:val="24"/>
        </w:rPr>
      </w:pPr>
      <w:r w:rsidRPr="00DE55B8">
        <w:rPr>
          <w:rStyle w:val="Cmsor1Char"/>
          <w:rFonts w:ascii="Times New Roman" w:hAnsi="Times New Roman" w:cs="Times New Roman"/>
        </w:rPr>
        <w:lastRenderedPageBreak/>
        <w:t>III. AZ ENERGIAADÓZÁS AZ UNIÓ TAGÁLLAMAIBAN</w:t>
      </w:r>
      <w:bookmarkEnd w:id="6"/>
      <w:r w:rsidR="000B6D2B" w:rsidRPr="00DE55B8">
        <w:rPr>
          <w:rStyle w:val="Cmsor1Char"/>
          <w:rFonts w:ascii="Times New Roman" w:hAnsi="Times New Roman" w:cs="Times New Roman"/>
        </w:rPr>
        <w:tab/>
      </w:r>
      <w:r w:rsidR="000B6D2B" w:rsidRPr="00DE55B8">
        <w:rPr>
          <w:rStyle w:val="Cmsor1Char"/>
          <w:rFonts w:ascii="Times New Roman" w:hAnsi="Times New Roman" w:cs="Times New Roman"/>
        </w:rPr>
        <w:br/>
      </w:r>
      <w:r>
        <w:rPr>
          <w:rFonts w:ascii="Times New Roman" w:hAnsi="Times New Roman" w:cs="Times New Roman"/>
          <w:sz w:val="24"/>
          <w:szCs w:val="24"/>
        </w:rPr>
        <w:br/>
      </w:r>
      <w:r w:rsidR="003F0E2A">
        <w:rPr>
          <w:rFonts w:ascii="Times New Roman" w:hAnsi="Times New Roman" w:cs="Times New Roman"/>
          <w:sz w:val="24"/>
          <w:szCs w:val="24"/>
        </w:rPr>
        <w:tab/>
        <w:t xml:space="preserve">A </w:t>
      </w:r>
      <w:r w:rsidR="00DA30C8" w:rsidRPr="00413518">
        <w:rPr>
          <w:rFonts w:ascii="Times New Roman" w:hAnsi="Times New Roman" w:cs="Times New Roman"/>
          <w:sz w:val="24"/>
          <w:szCs w:val="24"/>
        </w:rPr>
        <w:t>tagállamok</w:t>
      </w:r>
      <w:r w:rsidR="003F0E2A">
        <w:rPr>
          <w:rFonts w:ascii="Times New Roman" w:hAnsi="Times New Roman" w:cs="Times New Roman"/>
          <w:sz w:val="24"/>
          <w:szCs w:val="24"/>
        </w:rPr>
        <w:t xml:space="preserve"> adózása kapcsán </w:t>
      </w:r>
      <w:r w:rsidR="00DA30C8" w:rsidRPr="00413518">
        <w:rPr>
          <w:rFonts w:ascii="Times New Roman" w:hAnsi="Times New Roman" w:cs="Times New Roman"/>
          <w:sz w:val="24"/>
          <w:szCs w:val="24"/>
        </w:rPr>
        <w:t>megállapíthatjuk, hogy az adózás, mint trend az integrációban egyre csak hanyatlik.</w:t>
      </w:r>
      <w:r w:rsidR="00DA30C8" w:rsidRPr="00413518">
        <w:rPr>
          <w:rStyle w:val="Lbjegyzet-hivatkozs"/>
          <w:sz w:val="24"/>
          <w:szCs w:val="24"/>
        </w:rPr>
        <w:footnoteReference w:id="66"/>
      </w:r>
      <w:r w:rsidR="00DA30C8" w:rsidRPr="00413518">
        <w:rPr>
          <w:rFonts w:ascii="Times New Roman" w:hAnsi="Times New Roman" w:cs="Times New Roman"/>
          <w:sz w:val="24"/>
          <w:szCs w:val="24"/>
        </w:rPr>
        <w:t xml:space="preserve"> Ez sajnos igaz az energiaadózásra is. Azonban hála annak, hogy 2004-ben 10 új tagállam csatlakozott az Unióhoz, 2007-ben pedig 2, így a már kibővült EU-ban az energiaadó szerepe fokozatosan növekszik. Egyrészt ennek az oka a környezetvédelem szerepének erősödése a szakpolitikák területén, amely az EU gazdagodásának és a fenyegető éghajlatváltozás komolyabban vételének az eredménye, másrészt pedig nagyobb mértékben támaszkodnak a különféle politikai eszközökre, így az adókra, vagy a manapság népszerű kibocsátási kvóták kereskedelmére.</w:t>
      </w:r>
      <w:r w:rsidR="002042A3">
        <w:rPr>
          <w:rFonts w:ascii="Times New Roman" w:hAnsi="Times New Roman" w:cs="Times New Roman"/>
          <w:sz w:val="24"/>
          <w:szCs w:val="24"/>
        </w:rPr>
        <w:tab/>
      </w:r>
      <w:r w:rsidR="002042A3">
        <w:rPr>
          <w:rFonts w:ascii="Times New Roman" w:hAnsi="Times New Roman" w:cs="Times New Roman"/>
          <w:sz w:val="24"/>
          <w:szCs w:val="24"/>
        </w:rPr>
        <w:br/>
      </w:r>
      <w:r w:rsidR="002042A3">
        <w:rPr>
          <w:rFonts w:ascii="Times New Roman" w:hAnsi="Times New Roman" w:cs="Times New Roman"/>
          <w:sz w:val="24"/>
          <w:szCs w:val="24"/>
        </w:rPr>
        <w:tab/>
        <w:t>Jelenleg nagyjából minden 15</w:t>
      </w:r>
      <w:r w:rsidR="00DA30C8" w:rsidRPr="00413518">
        <w:rPr>
          <w:rFonts w:ascii="Times New Roman" w:hAnsi="Times New Roman" w:cs="Times New Roman"/>
          <w:sz w:val="24"/>
          <w:szCs w:val="24"/>
        </w:rPr>
        <w:t xml:space="preserve"> bevételből 1 euró környezetvédelmi adóbevételt jelent.</w:t>
      </w:r>
      <w:r w:rsidR="00DA30C8" w:rsidRPr="00413518">
        <w:rPr>
          <w:rStyle w:val="Lbjegyzet-hivatkozs"/>
          <w:sz w:val="24"/>
          <w:szCs w:val="24"/>
        </w:rPr>
        <w:footnoteReference w:id="67"/>
      </w:r>
      <w:r w:rsidR="00DA30C8" w:rsidRPr="00413518">
        <w:rPr>
          <w:rFonts w:ascii="Times New Roman" w:hAnsi="Times New Roman" w:cs="Times New Roman"/>
          <w:sz w:val="24"/>
          <w:szCs w:val="24"/>
        </w:rPr>
        <w:t xml:space="preserve">A rendelkezésre álló adatok kitűnően megmutatják, hogy a környezetvédelmi adóbevételek folyamatosan nőttek, különösen 1990 – 1994 között, de 1999-óta, különösen az euró zónában csökkenés tapasztalható. Ez a folyamat 2006-ban is folytatódott. A 12 új tagállamban, ahol az adómértékek általánosan alacsonyak voltak a környezetvédelmi adók területén, míg más adónemek mértékét folyamatosan emelték. Így összességében nem állapíthatunk meg különbséget a 15 tagú és a 27 tagú </w:t>
      </w:r>
      <w:r w:rsidR="003F0E2A">
        <w:rPr>
          <w:rFonts w:ascii="Times New Roman" w:hAnsi="Times New Roman" w:cs="Times New Roman"/>
          <w:sz w:val="24"/>
          <w:szCs w:val="24"/>
        </w:rPr>
        <w:t xml:space="preserve">Európa között. Ennek az oka, </w:t>
      </w:r>
      <w:r w:rsidR="00DA30C8" w:rsidRPr="00413518">
        <w:rPr>
          <w:rFonts w:ascii="Times New Roman" w:hAnsi="Times New Roman" w:cs="Times New Roman"/>
          <w:sz w:val="24"/>
          <w:szCs w:val="24"/>
        </w:rPr>
        <w:t xml:space="preserve">hogy </w:t>
      </w:r>
      <w:r w:rsidR="00B67393" w:rsidRPr="00413518">
        <w:rPr>
          <w:rFonts w:ascii="Times New Roman" w:hAnsi="Times New Roman" w:cs="Times New Roman"/>
          <w:sz w:val="24"/>
          <w:szCs w:val="24"/>
        </w:rPr>
        <w:t>az egyenlő adóbevétel nem jelent egyenlő adómértéket. Azon országok, ahol az iparban nagyobb szerepet kapnak az energia intenzív iparágak, nem fogják magas mértékben meghatározni az energiaadó mértékeiket és mégis a költségvetési bevételeik ugyanazt a mennyiséget mutathatják, mint a többi akár magasabb adómértékkel ope</w:t>
      </w:r>
      <w:r w:rsidR="00460FDE">
        <w:rPr>
          <w:rFonts w:ascii="Times New Roman" w:hAnsi="Times New Roman" w:cs="Times New Roman"/>
          <w:sz w:val="24"/>
          <w:szCs w:val="24"/>
        </w:rPr>
        <w:t>ráló országok állami bevételei.</w:t>
      </w:r>
      <w:r w:rsidR="00B67393" w:rsidRPr="00413518">
        <w:rPr>
          <w:rFonts w:ascii="Times New Roman" w:hAnsi="Times New Roman" w:cs="Times New Roman"/>
          <w:sz w:val="24"/>
          <w:szCs w:val="24"/>
        </w:rPr>
        <w:br/>
      </w:r>
      <w:r w:rsidR="00B67393" w:rsidRPr="00413518">
        <w:rPr>
          <w:rFonts w:ascii="Times New Roman" w:hAnsi="Times New Roman" w:cs="Times New Roman"/>
          <w:sz w:val="24"/>
          <w:szCs w:val="24"/>
        </w:rPr>
        <w:tab/>
        <w:t>Az 1990-es években bevezetett környezetvédelmi adóreform egyre növekvő támogatottságra tett szert. Az alapötlet tulajdonképpen az volt, hogy a munkát/munkaerőt terhelő adóterhe</w:t>
      </w:r>
      <w:r w:rsidR="003F0E2A">
        <w:rPr>
          <w:rFonts w:ascii="Times New Roman" w:hAnsi="Times New Roman" w:cs="Times New Roman"/>
          <w:sz w:val="24"/>
          <w:szCs w:val="24"/>
        </w:rPr>
        <w:t>ke</w:t>
      </w:r>
      <w:r w:rsidR="00B67393" w:rsidRPr="00413518">
        <w:rPr>
          <w:rFonts w:ascii="Times New Roman" w:hAnsi="Times New Roman" w:cs="Times New Roman"/>
          <w:sz w:val="24"/>
          <w:szCs w:val="24"/>
        </w:rPr>
        <w:t xml:space="preserve">t megpróbálják áthárítani a környezetre káros termékekre és szolgáltatásokra. A Jacques Delors féle </w:t>
      </w:r>
      <w:r w:rsidR="00B67393" w:rsidRPr="00413518">
        <w:rPr>
          <w:rFonts w:ascii="Times New Roman" w:hAnsi="Times New Roman" w:cs="Times New Roman"/>
          <w:i/>
          <w:sz w:val="24"/>
          <w:szCs w:val="24"/>
        </w:rPr>
        <w:t>Fehér Könyv</w:t>
      </w:r>
      <w:r w:rsidR="00B67393" w:rsidRPr="00413518">
        <w:rPr>
          <w:rStyle w:val="Lbjegyzet-hivatkozs"/>
          <w:i/>
          <w:sz w:val="24"/>
          <w:szCs w:val="24"/>
        </w:rPr>
        <w:footnoteReference w:id="68"/>
      </w:r>
      <w:r w:rsidR="00B67393" w:rsidRPr="00413518">
        <w:rPr>
          <w:rFonts w:ascii="Times New Roman" w:hAnsi="Times New Roman" w:cs="Times New Roman"/>
          <w:i/>
          <w:sz w:val="24"/>
          <w:szCs w:val="24"/>
        </w:rPr>
        <w:t xml:space="preserve"> </w:t>
      </w:r>
      <w:r w:rsidR="00B67393" w:rsidRPr="00413518">
        <w:rPr>
          <w:rFonts w:ascii="Times New Roman" w:hAnsi="Times New Roman" w:cs="Times New Roman"/>
          <w:sz w:val="24"/>
          <w:szCs w:val="24"/>
        </w:rPr>
        <w:t>megjelenése óta a gondolat politikai szinten is támogatókra lel</w:t>
      </w:r>
      <w:r w:rsidR="00986992">
        <w:rPr>
          <w:rFonts w:ascii="Times New Roman" w:hAnsi="Times New Roman" w:cs="Times New Roman"/>
          <w:sz w:val="24"/>
          <w:szCs w:val="24"/>
        </w:rPr>
        <w:t>t</w:t>
      </w:r>
      <w:r w:rsidR="004C45EC" w:rsidRPr="00413518">
        <w:rPr>
          <w:rStyle w:val="Lbjegyzet-hivatkozs"/>
          <w:sz w:val="24"/>
          <w:szCs w:val="24"/>
        </w:rPr>
        <w:footnoteReference w:id="69"/>
      </w:r>
      <w:r w:rsidR="008D0498">
        <w:rPr>
          <w:rFonts w:ascii="Times New Roman" w:hAnsi="Times New Roman" w:cs="Times New Roman"/>
          <w:sz w:val="24"/>
          <w:szCs w:val="24"/>
        </w:rPr>
        <w:t xml:space="preserve">. </w:t>
      </w:r>
      <w:r w:rsidR="004C45EC" w:rsidRPr="00413518">
        <w:rPr>
          <w:rFonts w:ascii="Times New Roman" w:hAnsi="Times New Roman" w:cs="Times New Roman"/>
          <w:sz w:val="24"/>
          <w:szCs w:val="24"/>
        </w:rPr>
        <w:t xml:space="preserve">Eközben meg kellett az előállítókat védeni attól, hogy a versenyképességük csorbuljon, hiszen az adóteher miatt a költségeik növekednek. Ezt a problémát különféle adókedvezmények, vagy akár visszatérítési rendszerek biztosításával </w:t>
      </w:r>
      <w:r w:rsidR="004C45EC" w:rsidRPr="00413518">
        <w:rPr>
          <w:rFonts w:ascii="Times New Roman" w:hAnsi="Times New Roman" w:cs="Times New Roman"/>
          <w:sz w:val="24"/>
          <w:szCs w:val="24"/>
        </w:rPr>
        <w:lastRenderedPageBreak/>
        <w:t>hidalták át az utóbbi évtizedben.</w:t>
      </w:r>
      <w:r w:rsidR="004C45EC" w:rsidRPr="00413518">
        <w:rPr>
          <w:rStyle w:val="Lbjegyzet-hivatkozs"/>
          <w:sz w:val="24"/>
          <w:szCs w:val="24"/>
        </w:rPr>
        <w:footnoteReference w:id="70"/>
      </w:r>
      <w:r w:rsidR="004C45EC" w:rsidRPr="00413518">
        <w:rPr>
          <w:rFonts w:ascii="Times New Roman" w:hAnsi="Times New Roman" w:cs="Times New Roman"/>
          <w:sz w:val="24"/>
          <w:szCs w:val="24"/>
        </w:rPr>
        <w:t xml:space="preserve"> Az érdeklő</w:t>
      </w:r>
      <w:r w:rsidR="003F0E2A">
        <w:rPr>
          <w:rFonts w:ascii="Times New Roman" w:hAnsi="Times New Roman" w:cs="Times New Roman"/>
          <w:sz w:val="24"/>
          <w:szCs w:val="24"/>
        </w:rPr>
        <w:t xml:space="preserve">dés ellenére a </w:t>
      </w:r>
      <w:r w:rsidR="003F0E2A" w:rsidRPr="00413518">
        <w:rPr>
          <w:rFonts w:ascii="Times New Roman" w:hAnsi="Times New Roman" w:cs="Times New Roman"/>
          <w:sz w:val="24"/>
          <w:szCs w:val="24"/>
        </w:rPr>
        <w:t>környezetvédelmi adóbevételek</w:t>
      </w:r>
      <w:r w:rsidR="003F0E2A">
        <w:rPr>
          <w:rFonts w:ascii="Times New Roman" w:hAnsi="Times New Roman" w:cs="Times New Roman"/>
          <w:sz w:val="24"/>
          <w:szCs w:val="24"/>
        </w:rPr>
        <w:t xml:space="preserve"> </w:t>
      </w:r>
      <w:r w:rsidR="004C45EC" w:rsidRPr="00413518">
        <w:rPr>
          <w:rFonts w:ascii="Times New Roman" w:hAnsi="Times New Roman" w:cs="Times New Roman"/>
          <w:sz w:val="24"/>
          <w:szCs w:val="24"/>
        </w:rPr>
        <w:t>nem nőttek jelentősen. 2006-ban</w:t>
      </w:r>
      <w:r w:rsidR="003F0E2A">
        <w:rPr>
          <w:rFonts w:ascii="Times New Roman" w:hAnsi="Times New Roman" w:cs="Times New Roman"/>
          <w:sz w:val="24"/>
          <w:szCs w:val="24"/>
        </w:rPr>
        <w:t>,</w:t>
      </w:r>
      <w:r w:rsidR="004C45EC" w:rsidRPr="00413518">
        <w:rPr>
          <w:rFonts w:ascii="Times New Roman" w:hAnsi="Times New Roman" w:cs="Times New Roman"/>
          <w:sz w:val="24"/>
          <w:szCs w:val="24"/>
        </w:rPr>
        <w:t xml:space="preserve"> a 27-ek E</w:t>
      </w:r>
      <w:r w:rsidR="002042A3">
        <w:rPr>
          <w:rFonts w:ascii="Times New Roman" w:hAnsi="Times New Roman" w:cs="Times New Roman"/>
          <w:sz w:val="24"/>
          <w:szCs w:val="24"/>
        </w:rPr>
        <w:t xml:space="preserve">urópájának </w:t>
      </w:r>
      <w:r w:rsidR="003F0E2A">
        <w:rPr>
          <w:rFonts w:ascii="Times New Roman" w:hAnsi="Times New Roman" w:cs="Times New Roman"/>
          <w:sz w:val="24"/>
          <w:szCs w:val="24"/>
        </w:rPr>
        <w:t xml:space="preserve">a </w:t>
      </w:r>
      <w:r w:rsidR="002042A3">
        <w:rPr>
          <w:rFonts w:ascii="Times New Roman" w:hAnsi="Times New Roman" w:cs="Times New Roman"/>
          <w:sz w:val="24"/>
          <w:szCs w:val="24"/>
        </w:rPr>
        <w:t>teljes adóbevételén belül,</w:t>
      </w:r>
      <w:r w:rsidR="004C45EC" w:rsidRPr="00413518">
        <w:rPr>
          <w:rFonts w:ascii="Times New Roman" w:hAnsi="Times New Roman" w:cs="Times New Roman"/>
          <w:sz w:val="24"/>
          <w:szCs w:val="24"/>
        </w:rPr>
        <w:t xml:space="preserve"> a környezetv</w:t>
      </w:r>
      <w:r w:rsidR="002042A3">
        <w:rPr>
          <w:rFonts w:ascii="Times New Roman" w:hAnsi="Times New Roman" w:cs="Times New Roman"/>
          <w:sz w:val="24"/>
          <w:szCs w:val="24"/>
        </w:rPr>
        <w:t xml:space="preserve">édelmi adókból származó bevétel a GDP 2,6 és 6,4% értéket érte </w:t>
      </w:r>
      <w:r w:rsidR="004C45EC" w:rsidRPr="00413518">
        <w:rPr>
          <w:rFonts w:ascii="Times New Roman" w:hAnsi="Times New Roman" w:cs="Times New Roman"/>
          <w:sz w:val="24"/>
          <w:szCs w:val="24"/>
        </w:rPr>
        <w:t>el. Ha ezeket az adatokat az 1980-asakkal vetjük össze, akkor a növekedés jelentős, hiszen akkor a GDP 0,5%-át tették ki a környezetvédelmi adóbevételek.</w:t>
      </w:r>
      <w:r w:rsidR="00B10902" w:rsidRPr="00413518">
        <w:rPr>
          <w:rFonts w:ascii="Times New Roman" w:hAnsi="Times New Roman" w:cs="Times New Roman"/>
          <w:sz w:val="24"/>
          <w:szCs w:val="24"/>
        </w:rPr>
        <w:tab/>
      </w:r>
      <w:r w:rsidR="00B10902" w:rsidRPr="00413518">
        <w:rPr>
          <w:rFonts w:ascii="Times New Roman" w:hAnsi="Times New Roman" w:cs="Times New Roman"/>
          <w:sz w:val="24"/>
          <w:szCs w:val="24"/>
        </w:rPr>
        <w:br/>
      </w:r>
      <w:r w:rsidR="00B10902" w:rsidRPr="00413518">
        <w:rPr>
          <w:rFonts w:ascii="Times New Roman" w:hAnsi="Times New Roman" w:cs="Times New Roman"/>
          <w:sz w:val="24"/>
          <w:szCs w:val="24"/>
        </w:rPr>
        <w:tab/>
        <w:t>A környezetvédelmi adókat három fő területre</w:t>
      </w:r>
      <w:r w:rsidR="00B10902" w:rsidRPr="00413518">
        <w:rPr>
          <w:rStyle w:val="Lbjegyzet-hivatkozs"/>
          <w:sz w:val="24"/>
          <w:szCs w:val="24"/>
        </w:rPr>
        <w:footnoteReference w:id="71"/>
      </w:r>
      <w:r w:rsidR="00B10902" w:rsidRPr="00413518">
        <w:rPr>
          <w:rFonts w:ascii="Times New Roman" w:hAnsi="Times New Roman" w:cs="Times New Roman"/>
          <w:sz w:val="24"/>
          <w:szCs w:val="24"/>
        </w:rPr>
        <w:t xml:space="preserve"> oszthatjuk, de léteznek olyan csoportosítások is, amely szerint négy részt</w:t>
      </w:r>
      <w:r w:rsidR="00B10902" w:rsidRPr="00413518">
        <w:rPr>
          <w:rStyle w:val="Lbjegyzet-hivatkozs"/>
          <w:sz w:val="24"/>
          <w:szCs w:val="24"/>
        </w:rPr>
        <w:footnoteReference w:id="72"/>
      </w:r>
      <w:r w:rsidR="00B10902" w:rsidRPr="00413518">
        <w:rPr>
          <w:rFonts w:ascii="Times New Roman" w:hAnsi="Times New Roman" w:cs="Times New Roman"/>
          <w:sz w:val="24"/>
          <w:szCs w:val="24"/>
        </w:rPr>
        <w:t xml:space="preserve"> különböztethetünk meg. Ezek:</w:t>
      </w:r>
      <w:r w:rsidR="003F0E2A">
        <w:rPr>
          <w:rFonts w:ascii="Times New Roman" w:hAnsi="Times New Roman" w:cs="Times New Roman"/>
          <w:sz w:val="24"/>
          <w:szCs w:val="24"/>
        </w:rPr>
        <w:tab/>
      </w:r>
      <w:r w:rsidR="003F0E2A">
        <w:rPr>
          <w:rFonts w:ascii="Times New Roman" w:hAnsi="Times New Roman" w:cs="Times New Roman"/>
          <w:sz w:val="24"/>
          <w:szCs w:val="24"/>
        </w:rPr>
        <w:br/>
      </w:r>
      <w:r w:rsidR="003F0E2A">
        <w:rPr>
          <w:rFonts w:ascii="Times New Roman" w:hAnsi="Times New Roman" w:cs="Times New Roman"/>
          <w:sz w:val="24"/>
          <w:szCs w:val="24"/>
        </w:rPr>
        <w:tab/>
      </w:r>
      <w:r w:rsidR="00B10902" w:rsidRPr="00413518">
        <w:rPr>
          <w:rFonts w:ascii="Times New Roman" w:hAnsi="Times New Roman" w:cs="Times New Roman"/>
          <w:sz w:val="24"/>
          <w:szCs w:val="24"/>
        </w:rPr>
        <w:t xml:space="preserve">(1) </w:t>
      </w:r>
      <w:r w:rsidR="00B10902" w:rsidRPr="00413518">
        <w:rPr>
          <w:rFonts w:ascii="Times New Roman" w:hAnsi="Times New Roman" w:cs="Times New Roman"/>
          <w:i/>
          <w:sz w:val="24"/>
          <w:szCs w:val="24"/>
        </w:rPr>
        <w:t>energiaadók</w:t>
      </w:r>
      <w:r w:rsidR="003F0E2A">
        <w:rPr>
          <w:rFonts w:ascii="Times New Roman" w:hAnsi="Times New Roman" w:cs="Times New Roman"/>
          <w:sz w:val="24"/>
          <w:szCs w:val="24"/>
        </w:rPr>
        <w:t>,</w:t>
      </w:r>
      <w:r w:rsidR="003F0E2A">
        <w:rPr>
          <w:rFonts w:ascii="Times New Roman" w:hAnsi="Times New Roman" w:cs="Times New Roman"/>
          <w:sz w:val="24"/>
          <w:szCs w:val="24"/>
        </w:rPr>
        <w:tab/>
      </w:r>
      <w:r w:rsidR="003F0E2A">
        <w:rPr>
          <w:rFonts w:ascii="Times New Roman" w:hAnsi="Times New Roman" w:cs="Times New Roman"/>
          <w:sz w:val="24"/>
          <w:szCs w:val="24"/>
        </w:rPr>
        <w:br/>
      </w:r>
      <w:r w:rsidR="003F0E2A">
        <w:rPr>
          <w:rFonts w:ascii="Times New Roman" w:hAnsi="Times New Roman" w:cs="Times New Roman"/>
          <w:sz w:val="24"/>
          <w:szCs w:val="24"/>
        </w:rPr>
        <w:tab/>
      </w:r>
      <w:r w:rsidR="00B10902" w:rsidRPr="00413518">
        <w:rPr>
          <w:rFonts w:ascii="Times New Roman" w:hAnsi="Times New Roman" w:cs="Times New Roman"/>
          <w:sz w:val="24"/>
          <w:szCs w:val="24"/>
        </w:rPr>
        <w:t xml:space="preserve">(2) </w:t>
      </w:r>
      <w:r w:rsidR="00B10902" w:rsidRPr="00413518">
        <w:rPr>
          <w:rFonts w:ascii="Times New Roman" w:hAnsi="Times New Roman" w:cs="Times New Roman"/>
          <w:i/>
          <w:sz w:val="24"/>
          <w:szCs w:val="24"/>
        </w:rPr>
        <w:t>közlekedési adók</w:t>
      </w:r>
      <w:r w:rsidR="003F0E2A">
        <w:rPr>
          <w:rFonts w:ascii="Times New Roman" w:hAnsi="Times New Roman" w:cs="Times New Roman"/>
          <w:sz w:val="24"/>
          <w:szCs w:val="24"/>
        </w:rPr>
        <w:t>,</w:t>
      </w:r>
      <w:r w:rsidR="003F0E2A">
        <w:rPr>
          <w:rFonts w:ascii="Times New Roman" w:hAnsi="Times New Roman" w:cs="Times New Roman"/>
          <w:sz w:val="24"/>
          <w:szCs w:val="24"/>
        </w:rPr>
        <w:tab/>
      </w:r>
      <w:r w:rsidR="003F0E2A">
        <w:rPr>
          <w:rFonts w:ascii="Times New Roman" w:hAnsi="Times New Roman" w:cs="Times New Roman"/>
          <w:sz w:val="24"/>
          <w:szCs w:val="24"/>
        </w:rPr>
        <w:br/>
      </w:r>
      <w:r w:rsidR="003F0E2A">
        <w:rPr>
          <w:rFonts w:ascii="Times New Roman" w:hAnsi="Times New Roman" w:cs="Times New Roman"/>
          <w:sz w:val="24"/>
          <w:szCs w:val="24"/>
        </w:rPr>
        <w:tab/>
      </w:r>
      <w:r w:rsidR="00B10902" w:rsidRPr="00413518">
        <w:rPr>
          <w:rFonts w:ascii="Times New Roman" w:hAnsi="Times New Roman" w:cs="Times New Roman"/>
          <w:sz w:val="24"/>
          <w:szCs w:val="24"/>
        </w:rPr>
        <w:t xml:space="preserve">(3) </w:t>
      </w:r>
      <w:r w:rsidR="00B10902" w:rsidRPr="00413518">
        <w:rPr>
          <w:rFonts w:ascii="Times New Roman" w:hAnsi="Times New Roman" w:cs="Times New Roman"/>
          <w:i/>
          <w:sz w:val="24"/>
          <w:szCs w:val="24"/>
        </w:rPr>
        <w:t>környezetszennyezési adók</w:t>
      </w:r>
      <w:r w:rsidR="003F0E2A">
        <w:rPr>
          <w:rFonts w:ascii="Times New Roman" w:hAnsi="Times New Roman" w:cs="Times New Roman"/>
          <w:sz w:val="24"/>
          <w:szCs w:val="24"/>
        </w:rPr>
        <w:t>.</w:t>
      </w:r>
      <w:r w:rsidR="003F0E2A">
        <w:rPr>
          <w:rFonts w:ascii="Times New Roman" w:hAnsi="Times New Roman" w:cs="Times New Roman"/>
          <w:sz w:val="24"/>
          <w:szCs w:val="24"/>
        </w:rPr>
        <w:tab/>
      </w:r>
      <w:r w:rsidR="003F0E2A">
        <w:rPr>
          <w:rFonts w:ascii="Times New Roman" w:hAnsi="Times New Roman" w:cs="Times New Roman"/>
          <w:sz w:val="24"/>
          <w:szCs w:val="24"/>
        </w:rPr>
        <w:br/>
      </w:r>
      <w:r w:rsidR="00B10902" w:rsidRPr="00413518">
        <w:rPr>
          <w:rFonts w:ascii="Times New Roman" w:hAnsi="Times New Roman" w:cs="Times New Roman"/>
          <w:sz w:val="24"/>
          <w:szCs w:val="24"/>
        </w:rPr>
        <w:t>A szabályozás jelenleg i</w:t>
      </w:r>
      <w:r w:rsidR="003F0E2A">
        <w:rPr>
          <w:rFonts w:ascii="Times New Roman" w:hAnsi="Times New Roman" w:cs="Times New Roman"/>
          <w:sz w:val="24"/>
          <w:szCs w:val="24"/>
        </w:rPr>
        <w:t>s hatályban van. J</w:t>
      </w:r>
      <w:r w:rsidR="00B10902" w:rsidRPr="00413518">
        <w:rPr>
          <w:rFonts w:ascii="Times New Roman" w:hAnsi="Times New Roman" w:cs="Times New Roman"/>
          <w:sz w:val="24"/>
          <w:szCs w:val="24"/>
        </w:rPr>
        <w:t xml:space="preserve">ellegét tekintve keretjellegű, amely tulajdonképpen azt jelenti, hogy az EU szintjén határozzák meg a szabályozás legfőbb alapelveit, majd a tagállamoknak elsődleges kötelezettsége az implementáció, majd a </w:t>
      </w:r>
      <w:r w:rsidR="00460FDE">
        <w:rPr>
          <w:rFonts w:ascii="Times New Roman" w:hAnsi="Times New Roman" w:cs="Times New Roman"/>
          <w:sz w:val="24"/>
          <w:szCs w:val="24"/>
        </w:rPr>
        <w:t>részletszabályozás kidolgozása.</w:t>
      </w:r>
      <w:r w:rsidR="00B10902" w:rsidRPr="00413518">
        <w:rPr>
          <w:rFonts w:ascii="Times New Roman" w:hAnsi="Times New Roman" w:cs="Times New Roman"/>
          <w:sz w:val="24"/>
          <w:szCs w:val="24"/>
        </w:rPr>
        <w:tab/>
      </w:r>
      <w:r w:rsidR="00B10902" w:rsidRPr="00413518">
        <w:rPr>
          <w:rFonts w:ascii="Times New Roman" w:hAnsi="Times New Roman" w:cs="Times New Roman"/>
          <w:sz w:val="24"/>
          <w:szCs w:val="24"/>
        </w:rPr>
        <w:br/>
      </w:r>
      <w:r w:rsidR="00B10902" w:rsidRPr="00413518">
        <w:rPr>
          <w:rFonts w:ascii="Times New Roman" w:hAnsi="Times New Roman" w:cs="Times New Roman"/>
          <w:sz w:val="24"/>
          <w:szCs w:val="24"/>
        </w:rPr>
        <w:tab/>
        <w:t xml:space="preserve">A </w:t>
      </w:r>
      <w:r w:rsidR="00B10902" w:rsidRPr="00413518">
        <w:rPr>
          <w:rFonts w:ascii="Times New Roman" w:hAnsi="Times New Roman" w:cs="Times New Roman"/>
          <w:i/>
          <w:sz w:val="24"/>
          <w:szCs w:val="24"/>
        </w:rPr>
        <w:t xml:space="preserve">környezetszennyezési adók </w:t>
      </w:r>
      <w:r w:rsidR="00B10902" w:rsidRPr="00413518">
        <w:rPr>
          <w:rFonts w:ascii="Times New Roman" w:hAnsi="Times New Roman" w:cs="Times New Roman"/>
          <w:sz w:val="24"/>
          <w:szCs w:val="24"/>
        </w:rPr>
        <w:t>körébe sorolható a becsült és mért levegő- és vízszennyezés, a szilárd hulladék és a zajszennyezés kezelése. Nagyon fontos azt látni, hogy nem tartoznak ide a CO</w:t>
      </w:r>
      <w:r w:rsidR="00B10902" w:rsidRPr="00413518">
        <w:rPr>
          <w:rFonts w:ascii="Times New Roman" w:hAnsi="Times New Roman" w:cs="Times New Roman"/>
          <w:sz w:val="24"/>
          <w:szCs w:val="24"/>
          <w:vertAlign w:val="subscript"/>
        </w:rPr>
        <w:t xml:space="preserve">2 </w:t>
      </w:r>
      <w:r w:rsidR="00B10902" w:rsidRPr="00413518">
        <w:rPr>
          <w:rFonts w:ascii="Times New Roman" w:hAnsi="Times New Roman" w:cs="Times New Roman"/>
          <w:sz w:val="24"/>
          <w:szCs w:val="24"/>
        </w:rPr>
        <w:t>adók, hiszen ez az adónem az e</w:t>
      </w:r>
      <w:r w:rsidR="00460FDE">
        <w:rPr>
          <w:rFonts w:ascii="Times New Roman" w:hAnsi="Times New Roman" w:cs="Times New Roman"/>
          <w:sz w:val="24"/>
          <w:szCs w:val="24"/>
        </w:rPr>
        <w:t>nergiaadók részterületét képezi.</w:t>
      </w:r>
      <w:r w:rsidR="00B10902" w:rsidRPr="00413518">
        <w:rPr>
          <w:rFonts w:ascii="Times New Roman" w:hAnsi="Times New Roman" w:cs="Times New Roman"/>
          <w:sz w:val="24"/>
          <w:szCs w:val="24"/>
        </w:rPr>
        <w:tab/>
      </w:r>
      <w:r w:rsidR="00B10902" w:rsidRPr="00413518">
        <w:rPr>
          <w:rFonts w:ascii="Times New Roman" w:hAnsi="Times New Roman" w:cs="Times New Roman"/>
          <w:sz w:val="24"/>
          <w:szCs w:val="24"/>
        </w:rPr>
        <w:br/>
      </w:r>
      <w:r w:rsidR="00B10902" w:rsidRPr="00413518">
        <w:rPr>
          <w:rFonts w:ascii="Times New Roman" w:hAnsi="Times New Roman" w:cs="Times New Roman"/>
          <w:sz w:val="24"/>
          <w:szCs w:val="24"/>
        </w:rPr>
        <w:tab/>
        <w:t xml:space="preserve">A </w:t>
      </w:r>
      <w:r w:rsidR="00B10902" w:rsidRPr="00413518">
        <w:rPr>
          <w:rFonts w:ascii="Times New Roman" w:hAnsi="Times New Roman" w:cs="Times New Roman"/>
          <w:i/>
          <w:sz w:val="24"/>
          <w:szCs w:val="24"/>
        </w:rPr>
        <w:t xml:space="preserve">közlekedési adók </w:t>
      </w:r>
      <w:r w:rsidR="00B10902" w:rsidRPr="00413518">
        <w:rPr>
          <w:rFonts w:ascii="Times New Roman" w:hAnsi="Times New Roman" w:cs="Times New Roman"/>
          <w:sz w:val="24"/>
          <w:szCs w:val="24"/>
        </w:rPr>
        <w:t>(beleértve a regisztrációs és a forgalmi adót is) a gépjárművekhez kapcsolhatóak, különösen azok használatához és tulajdonlásukhoz. Az egyéb közlekedési eszközök (mint például a repülők) és közlekedési szolgáltatások (</w:t>
      </w:r>
      <w:r w:rsidR="003F0E2A">
        <w:rPr>
          <w:rFonts w:ascii="Times New Roman" w:hAnsi="Times New Roman" w:cs="Times New Roman"/>
          <w:sz w:val="24"/>
          <w:szCs w:val="24"/>
        </w:rPr>
        <w:t>így</w:t>
      </w:r>
      <w:r w:rsidR="00B10902" w:rsidRPr="00413518">
        <w:rPr>
          <w:rFonts w:ascii="Times New Roman" w:hAnsi="Times New Roman" w:cs="Times New Roman"/>
          <w:sz w:val="24"/>
          <w:szCs w:val="24"/>
        </w:rPr>
        <w:t xml:space="preserve"> a charter járatok és a menetrend szerinti járatok adója) szintén ide sorolhatóak, amennyiben összhangban állnak a környezetvédelmi adók általánosságban vett fogalmával. A közlekedési adók egyszeri adók lehetnek, amennyiben azok a jármű eladásához, vagy importjához kapcsolhatóak, mint az éves úthasználati adó. Ezeket az adókat egyszer kell egy évben megfizetni.</w:t>
      </w:r>
      <w:r w:rsidR="00B10902" w:rsidRPr="00413518">
        <w:rPr>
          <w:rFonts w:ascii="Times New Roman" w:hAnsi="Times New Roman" w:cs="Times New Roman"/>
          <w:sz w:val="24"/>
          <w:szCs w:val="24"/>
        </w:rPr>
        <w:tab/>
      </w:r>
      <w:r w:rsidR="00B10902" w:rsidRPr="00413518">
        <w:rPr>
          <w:rFonts w:ascii="Times New Roman" w:hAnsi="Times New Roman" w:cs="Times New Roman"/>
          <w:sz w:val="24"/>
          <w:szCs w:val="24"/>
        </w:rPr>
        <w:br/>
      </w:r>
      <w:r w:rsidR="00B10902" w:rsidRPr="00413518">
        <w:rPr>
          <w:rFonts w:ascii="Times New Roman" w:hAnsi="Times New Roman" w:cs="Times New Roman"/>
          <w:sz w:val="24"/>
          <w:szCs w:val="24"/>
        </w:rPr>
        <w:tab/>
        <w:t xml:space="preserve">A rendszerben az </w:t>
      </w:r>
      <w:r w:rsidR="00B10902" w:rsidRPr="00413518">
        <w:rPr>
          <w:rFonts w:ascii="Times New Roman" w:hAnsi="Times New Roman" w:cs="Times New Roman"/>
          <w:i/>
          <w:sz w:val="24"/>
          <w:szCs w:val="24"/>
        </w:rPr>
        <w:t>energiaadó</w:t>
      </w:r>
      <w:r w:rsidR="00B10902" w:rsidRPr="00413518">
        <w:rPr>
          <w:rFonts w:ascii="Times New Roman" w:hAnsi="Times New Roman" w:cs="Times New Roman"/>
          <w:sz w:val="24"/>
          <w:szCs w:val="24"/>
        </w:rPr>
        <w:t xml:space="preserve"> a legkiemelkedőbb. Az ebből az adónemből származó bevételek a környezetvédelmi adóbevételek közel ¾-ét teszik ki.</w:t>
      </w:r>
      <w:r w:rsidR="00B10902" w:rsidRPr="00413518">
        <w:rPr>
          <w:rStyle w:val="Lbjegyzet-hivatkozs"/>
          <w:sz w:val="24"/>
          <w:szCs w:val="24"/>
        </w:rPr>
        <w:footnoteReference w:id="73"/>
      </w:r>
      <w:r w:rsidR="00B10902" w:rsidRPr="00413518">
        <w:rPr>
          <w:rFonts w:ascii="Times New Roman" w:hAnsi="Times New Roman" w:cs="Times New Roman"/>
          <w:sz w:val="24"/>
          <w:szCs w:val="24"/>
        </w:rPr>
        <w:t xml:space="preserve"> Az energiaadók közé sorolható az energiatermékek használata után fizetendő adók egészen a közlekedési termékektől az állandó használatú termékekig. A közlekedési célzatú termékek között a </w:t>
      </w:r>
      <w:r w:rsidR="00B10902" w:rsidRPr="00413518">
        <w:rPr>
          <w:rFonts w:ascii="Times New Roman" w:hAnsi="Times New Roman" w:cs="Times New Roman"/>
          <w:sz w:val="24"/>
          <w:szCs w:val="24"/>
        </w:rPr>
        <w:lastRenderedPageBreak/>
        <w:t>legfontosabb energiatermékek a benzin és a dízel. Az állandó használatú energiatermékek pedig a gázolaj, földgáz, szén és a villamos energia.  A CO</w:t>
      </w:r>
      <w:r w:rsidR="00B10902" w:rsidRPr="00413518">
        <w:rPr>
          <w:rFonts w:ascii="Times New Roman" w:hAnsi="Times New Roman" w:cs="Times New Roman"/>
          <w:sz w:val="24"/>
          <w:szCs w:val="24"/>
          <w:vertAlign w:val="subscript"/>
        </w:rPr>
        <w:t>2</w:t>
      </w:r>
      <w:r w:rsidR="00B10902" w:rsidRPr="00413518">
        <w:rPr>
          <w:rFonts w:ascii="Times New Roman" w:hAnsi="Times New Roman" w:cs="Times New Roman"/>
          <w:sz w:val="24"/>
          <w:szCs w:val="24"/>
        </w:rPr>
        <w:t xml:space="preserve"> adókat inkább </w:t>
      </w:r>
      <w:r w:rsidR="002042A3">
        <w:rPr>
          <w:rFonts w:ascii="Times New Roman" w:hAnsi="Times New Roman" w:cs="Times New Roman"/>
          <w:sz w:val="24"/>
          <w:szCs w:val="24"/>
        </w:rPr>
        <w:t xml:space="preserve">ide </w:t>
      </w:r>
      <w:r w:rsidR="00B10902" w:rsidRPr="00413518">
        <w:rPr>
          <w:rFonts w:ascii="Times New Roman" w:hAnsi="Times New Roman" w:cs="Times New Roman"/>
          <w:sz w:val="24"/>
          <w:szCs w:val="24"/>
        </w:rPr>
        <w:t>sorolhatjuk, mint a szennyezési adók csoportjába.</w:t>
      </w:r>
      <w:r w:rsidR="00B10902" w:rsidRPr="00413518">
        <w:rPr>
          <w:rStyle w:val="Lbjegyzet-hivatkozs"/>
          <w:sz w:val="24"/>
          <w:szCs w:val="24"/>
        </w:rPr>
        <w:footnoteReference w:id="74"/>
      </w:r>
      <w:r w:rsidR="00CB0E0C" w:rsidRPr="00413518">
        <w:rPr>
          <w:rFonts w:ascii="Times New Roman" w:hAnsi="Times New Roman" w:cs="Times New Roman"/>
          <w:sz w:val="24"/>
          <w:szCs w:val="24"/>
        </w:rPr>
        <w:tab/>
      </w:r>
    </w:p>
    <w:p w:rsidR="00D56149" w:rsidRPr="00413518" w:rsidRDefault="00C02E75" w:rsidP="0069191A">
      <w:pPr>
        <w:pStyle w:val="Listaszerbekezds"/>
        <w:numPr>
          <w:ilvl w:val="0"/>
          <w:numId w:val="2"/>
        </w:numPr>
        <w:spacing w:line="360" w:lineRule="auto"/>
        <w:ind w:left="284" w:hanging="284"/>
        <w:jc w:val="both"/>
        <w:rPr>
          <w:rStyle w:val="Kiemels"/>
          <w:rFonts w:ascii="Times New Roman" w:hAnsi="Times New Roman" w:cs="Times New Roman"/>
        </w:rPr>
      </w:pPr>
      <w:r w:rsidRPr="00413518">
        <w:rPr>
          <w:rStyle w:val="Kiemels"/>
          <w:rFonts w:ascii="Times New Roman" w:hAnsi="Times New Roman" w:cs="Times New Roman"/>
        </w:rPr>
        <w:t xml:space="preserve">Ábra: </w:t>
      </w:r>
      <w:r w:rsidR="00D56149" w:rsidRPr="00413518">
        <w:rPr>
          <w:rStyle w:val="Kiemels"/>
          <w:rFonts w:ascii="Times New Roman" w:hAnsi="Times New Roman" w:cs="Times New Roman"/>
        </w:rPr>
        <w:t>A környezetvédelmi adókból származó adóbevétel az EU országaiban. 2008.</w:t>
      </w:r>
      <w:r w:rsidR="00D56149" w:rsidRPr="00413518">
        <w:rPr>
          <w:rStyle w:val="Kiemels"/>
          <w:rFonts w:ascii="Times New Roman" w:hAnsi="Times New Roman" w:cs="Times New Roman"/>
          <w:vertAlign w:val="superscript"/>
        </w:rPr>
        <w:footnoteReference w:id="75"/>
      </w:r>
      <w:r w:rsidR="00CB0E0C" w:rsidRPr="00413518">
        <w:rPr>
          <w:rStyle w:val="Kiemels"/>
          <w:rFonts w:ascii="Times New Roman" w:hAnsi="Times New Roman" w:cs="Times New Roman"/>
          <w:vertAlign w:val="superscript"/>
        </w:rPr>
        <w:tab/>
      </w:r>
    </w:p>
    <w:p w:rsidR="00B5132C" w:rsidRPr="00254408" w:rsidRDefault="00D56149" w:rsidP="00254408">
      <w:pPr>
        <w:spacing w:line="360" w:lineRule="auto"/>
        <w:jc w:val="both"/>
        <w:rPr>
          <w:rFonts w:ascii="Times New Roman" w:hAnsi="Times New Roman" w:cs="Times New Roman"/>
        </w:rPr>
      </w:pPr>
      <w:r w:rsidRPr="00413518">
        <w:rPr>
          <w:rFonts w:ascii="Times New Roman" w:hAnsi="Times New Roman" w:cs="Times New Roman"/>
          <w:noProof/>
          <w:sz w:val="24"/>
          <w:szCs w:val="24"/>
        </w:rPr>
        <w:drawing>
          <wp:inline distT="0" distB="0" distL="0" distR="0">
            <wp:extent cx="5760720" cy="3713480"/>
            <wp:effectExtent l="19050" t="0" r="0" b="0"/>
            <wp:docPr id="6" name="Kép 5" descr="grafik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on.JPG"/>
                    <pic:cNvPicPr/>
                  </pic:nvPicPr>
                  <pic:blipFill>
                    <a:blip r:embed="rId9" cstate="print"/>
                    <a:stretch>
                      <a:fillRect/>
                    </a:stretch>
                  </pic:blipFill>
                  <pic:spPr>
                    <a:xfrm>
                      <a:off x="0" y="0"/>
                      <a:ext cx="5760720" cy="3713480"/>
                    </a:xfrm>
                    <a:prstGeom prst="rect">
                      <a:avLst/>
                    </a:prstGeom>
                  </pic:spPr>
                </pic:pic>
              </a:graphicData>
            </a:graphic>
          </wp:inline>
        </w:drawing>
      </w:r>
      <w:r w:rsidR="00B5132C" w:rsidRPr="00254408">
        <w:rPr>
          <w:rFonts w:ascii="Times New Roman" w:hAnsi="Times New Roman" w:cs="Times New Roman"/>
          <w:b/>
          <w:i/>
          <w:sz w:val="24"/>
          <w:szCs w:val="24"/>
        </w:rPr>
        <w:t>Forrás</w:t>
      </w:r>
      <w:r w:rsidR="00254408">
        <w:rPr>
          <w:rFonts w:ascii="Times New Roman" w:hAnsi="Times New Roman" w:cs="Times New Roman"/>
          <w:sz w:val="24"/>
          <w:szCs w:val="24"/>
        </w:rPr>
        <w:t>:</w:t>
      </w:r>
      <w:hyperlink r:id="rId10" w:history="1">
        <w:r w:rsidR="00254408" w:rsidRPr="00E323AC">
          <w:rPr>
            <w:rStyle w:val="Hiperhivatkozs"/>
            <w:rFonts w:ascii="Times New Roman" w:hAnsi="Times New Roman" w:cs="Times New Roman"/>
          </w:rPr>
          <w:t>http://ec.europa.eu/taxation_customs/resources/documents/taxation/gen_info/economic_analysis/tax_structures/structures2008.pdf</w:t>
        </w:r>
      </w:hyperlink>
    </w:p>
    <w:p w:rsidR="004F5106" w:rsidRPr="002956E6" w:rsidRDefault="00686D4C" w:rsidP="0069191A">
      <w:pPr>
        <w:spacing w:line="360" w:lineRule="auto"/>
        <w:jc w:val="both"/>
        <w:rPr>
          <w:rStyle w:val="Cmsor2Char"/>
          <w:rFonts w:ascii="Times New Roman" w:eastAsiaTheme="minorEastAsia" w:hAnsi="Times New Roman" w:cs="Times New Roman"/>
          <w:b w:val="0"/>
          <w:bCs w:val="0"/>
          <w:sz w:val="24"/>
          <w:szCs w:val="24"/>
        </w:rPr>
      </w:pPr>
      <w:r w:rsidRPr="00413518">
        <w:rPr>
          <w:rFonts w:ascii="Times New Roman" w:hAnsi="Times New Roman" w:cs="Times New Roman"/>
          <w:sz w:val="24"/>
          <w:szCs w:val="24"/>
        </w:rPr>
        <w:tab/>
      </w:r>
      <w:r w:rsidR="00B10902" w:rsidRPr="00413518">
        <w:rPr>
          <w:rFonts w:ascii="Times New Roman" w:hAnsi="Times New Roman" w:cs="Times New Roman"/>
          <w:sz w:val="24"/>
          <w:szCs w:val="24"/>
        </w:rPr>
        <w:t>Az irányelvnél ismertetett rendelkezéseknél jól láttuk, hogy ez az első teljesen harmonizált</w:t>
      </w:r>
      <w:r w:rsidR="006709E7">
        <w:rPr>
          <w:rFonts w:ascii="Times New Roman" w:hAnsi="Times New Roman" w:cs="Times New Roman"/>
          <w:sz w:val="24"/>
          <w:szCs w:val="24"/>
        </w:rPr>
        <w:t xml:space="preserve"> adónem a tagállamok között</w:t>
      </w:r>
      <w:r w:rsidR="00B10902" w:rsidRPr="00413518">
        <w:rPr>
          <w:rFonts w:ascii="Times New Roman" w:hAnsi="Times New Roman" w:cs="Times New Roman"/>
          <w:sz w:val="24"/>
          <w:szCs w:val="24"/>
        </w:rPr>
        <w:t>, mégis a számos mentesség/kedvezmény, átmeneti időszak, adómérték meghatározása kapcsán az egyes országok rendszerei egymástól eltérnek. Ennek az okai sokrétűek, alapvetően tagállam</w:t>
      </w:r>
      <w:r w:rsidR="004B3313">
        <w:rPr>
          <w:rFonts w:ascii="Times New Roman" w:hAnsi="Times New Roman" w:cs="Times New Roman"/>
          <w:sz w:val="24"/>
          <w:szCs w:val="24"/>
        </w:rPr>
        <w:t>i</w:t>
      </w:r>
      <w:r w:rsidR="00B10902" w:rsidRPr="00413518">
        <w:rPr>
          <w:rFonts w:ascii="Times New Roman" w:hAnsi="Times New Roman" w:cs="Times New Roman"/>
          <w:sz w:val="24"/>
          <w:szCs w:val="24"/>
        </w:rPr>
        <w:t xml:space="preserve"> specifikus jelleget öltenek az energiaadó-rendszerek, hiszen tekintettel vannak az adott ország gazdasági felépítésére, piacára, így a nemzeti kormányok által megalkotott energiaadó törvények tulajdonképpen valamilyen </w:t>
      </w:r>
      <w:r w:rsidR="00B10902" w:rsidRPr="00413518">
        <w:rPr>
          <w:rFonts w:ascii="Times New Roman" w:hAnsi="Times New Roman" w:cs="Times New Roman"/>
          <w:sz w:val="24"/>
          <w:szCs w:val="24"/>
        </w:rPr>
        <w:lastRenderedPageBreak/>
        <w:t>szinten a nemzeti ipart védelmezik azáltal, hogy a külföldi vállalatokhoz képest nem terhelik meg nemzeti entitásaikat súlyos adóterhekkel és plusz költségekkel.</w:t>
      </w:r>
      <w:r w:rsidR="004F5106" w:rsidRPr="00413518">
        <w:rPr>
          <w:rFonts w:ascii="Times New Roman" w:hAnsi="Times New Roman" w:cs="Times New Roman"/>
          <w:sz w:val="24"/>
          <w:szCs w:val="24"/>
        </w:rPr>
        <w:tab/>
      </w:r>
    </w:p>
    <w:p w:rsidR="002042A3" w:rsidRDefault="002042A3" w:rsidP="0069191A">
      <w:pPr>
        <w:spacing w:line="360" w:lineRule="auto"/>
        <w:jc w:val="both"/>
        <w:rPr>
          <w:rStyle w:val="Cmsor2Char"/>
          <w:rFonts w:ascii="Times New Roman" w:hAnsi="Times New Roman" w:cs="Times New Roman"/>
        </w:rPr>
      </w:pPr>
    </w:p>
    <w:p w:rsidR="002042A3" w:rsidRDefault="002042A3" w:rsidP="0069191A">
      <w:pPr>
        <w:spacing w:line="360" w:lineRule="auto"/>
        <w:jc w:val="both"/>
        <w:rPr>
          <w:rStyle w:val="Cmsor2Char"/>
          <w:rFonts w:ascii="Times New Roman" w:hAnsi="Times New Roman" w:cs="Times New Roman"/>
        </w:rPr>
      </w:pPr>
    </w:p>
    <w:p w:rsidR="002042A3" w:rsidRDefault="002042A3" w:rsidP="0069191A">
      <w:pPr>
        <w:spacing w:line="360" w:lineRule="auto"/>
        <w:jc w:val="both"/>
        <w:rPr>
          <w:rStyle w:val="Cmsor2Char"/>
          <w:rFonts w:ascii="Times New Roman" w:hAnsi="Times New Roman" w:cs="Times New Roman"/>
        </w:rPr>
      </w:pPr>
    </w:p>
    <w:p w:rsidR="00254408" w:rsidRDefault="00254408" w:rsidP="0069191A">
      <w:pPr>
        <w:spacing w:line="360" w:lineRule="auto"/>
        <w:jc w:val="both"/>
        <w:rPr>
          <w:rStyle w:val="Cmsor2Char"/>
          <w:rFonts w:ascii="Times New Roman" w:hAnsi="Times New Roman" w:cs="Times New Roman"/>
        </w:rPr>
      </w:pPr>
    </w:p>
    <w:p w:rsidR="00254408" w:rsidRDefault="00254408" w:rsidP="0069191A">
      <w:pPr>
        <w:spacing w:line="360" w:lineRule="auto"/>
        <w:jc w:val="both"/>
        <w:rPr>
          <w:rStyle w:val="Cmsor2Char"/>
          <w:rFonts w:ascii="Times New Roman" w:hAnsi="Times New Roman" w:cs="Times New Roman"/>
        </w:rPr>
      </w:pPr>
    </w:p>
    <w:p w:rsidR="00254408" w:rsidRDefault="00254408" w:rsidP="0069191A">
      <w:pPr>
        <w:spacing w:line="360" w:lineRule="auto"/>
        <w:jc w:val="both"/>
        <w:rPr>
          <w:rStyle w:val="Cmsor2Char"/>
          <w:rFonts w:ascii="Times New Roman" w:hAnsi="Times New Roman" w:cs="Times New Roman"/>
        </w:rPr>
      </w:pPr>
    </w:p>
    <w:p w:rsidR="00254408" w:rsidRDefault="00254408" w:rsidP="0069191A">
      <w:pPr>
        <w:spacing w:line="360" w:lineRule="auto"/>
        <w:jc w:val="both"/>
        <w:rPr>
          <w:rStyle w:val="Cmsor2Char"/>
          <w:rFonts w:ascii="Times New Roman" w:hAnsi="Times New Roman" w:cs="Times New Roman"/>
        </w:rPr>
      </w:pPr>
    </w:p>
    <w:p w:rsidR="00254408" w:rsidRDefault="00254408" w:rsidP="0069191A">
      <w:pPr>
        <w:spacing w:line="360" w:lineRule="auto"/>
        <w:jc w:val="both"/>
        <w:rPr>
          <w:rStyle w:val="Cmsor2Char"/>
          <w:rFonts w:ascii="Times New Roman" w:hAnsi="Times New Roman" w:cs="Times New Roman"/>
        </w:rPr>
      </w:pPr>
    </w:p>
    <w:p w:rsidR="00254408" w:rsidRDefault="00254408" w:rsidP="0069191A">
      <w:pPr>
        <w:spacing w:line="360" w:lineRule="auto"/>
        <w:jc w:val="both"/>
        <w:rPr>
          <w:rStyle w:val="Cmsor2Char"/>
          <w:rFonts w:ascii="Times New Roman" w:hAnsi="Times New Roman" w:cs="Times New Roman"/>
        </w:rPr>
      </w:pPr>
    </w:p>
    <w:p w:rsidR="00254408" w:rsidRDefault="00254408" w:rsidP="0069191A">
      <w:pPr>
        <w:spacing w:line="360" w:lineRule="auto"/>
        <w:jc w:val="both"/>
        <w:rPr>
          <w:rStyle w:val="Cmsor2Char"/>
          <w:rFonts w:ascii="Times New Roman" w:hAnsi="Times New Roman" w:cs="Times New Roman"/>
        </w:rPr>
      </w:pPr>
    </w:p>
    <w:p w:rsidR="00254408" w:rsidRDefault="00254408" w:rsidP="0069191A">
      <w:pPr>
        <w:spacing w:line="360" w:lineRule="auto"/>
        <w:jc w:val="both"/>
        <w:rPr>
          <w:rStyle w:val="Cmsor2Char"/>
          <w:rFonts w:ascii="Times New Roman" w:hAnsi="Times New Roman" w:cs="Times New Roman"/>
        </w:rPr>
      </w:pPr>
    </w:p>
    <w:p w:rsidR="00254408" w:rsidRDefault="00254408" w:rsidP="0069191A">
      <w:pPr>
        <w:spacing w:line="360" w:lineRule="auto"/>
        <w:jc w:val="both"/>
        <w:rPr>
          <w:rStyle w:val="Cmsor2Char"/>
          <w:rFonts w:ascii="Times New Roman" w:hAnsi="Times New Roman" w:cs="Times New Roman"/>
        </w:rPr>
      </w:pPr>
    </w:p>
    <w:p w:rsidR="00254408" w:rsidRDefault="00254408" w:rsidP="0069191A">
      <w:pPr>
        <w:spacing w:line="360" w:lineRule="auto"/>
        <w:jc w:val="both"/>
        <w:rPr>
          <w:rStyle w:val="Cmsor2Char"/>
          <w:rFonts w:ascii="Times New Roman" w:hAnsi="Times New Roman" w:cs="Times New Roman"/>
        </w:rPr>
      </w:pPr>
    </w:p>
    <w:p w:rsidR="00254408" w:rsidRDefault="00254408" w:rsidP="0069191A">
      <w:pPr>
        <w:spacing w:line="360" w:lineRule="auto"/>
        <w:jc w:val="both"/>
        <w:rPr>
          <w:rStyle w:val="Cmsor2Char"/>
          <w:rFonts w:ascii="Times New Roman" w:hAnsi="Times New Roman" w:cs="Times New Roman"/>
        </w:rPr>
      </w:pPr>
    </w:p>
    <w:p w:rsidR="00254408" w:rsidRDefault="00254408" w:rsidP="0069191A">
      <w:pPr>
        <w:spacing w:line="360" w:lineRule="auto"/>
        <w:jc w:val="both"/>
        <w:rPr>
          <w:rStyle w:val="Cmsor2Char"/>
          <w:rFonts w:ascii="Times New Roman" w:hAnsi="Times New Roman" w:cs="Times New Roman"/>
        </w:rPr>
      </w:pPr>
    </w:p>
    <w:p w:rsidR="00254408" w:rsidRDefault="00254408" w:rsidP="0069191A">
      <w:pPr>
        <w:spacing w:line="360" w:lineRule="auto"/>
        <w:jc w:val="both"/>
        <w:rPr>
          <w:rStyle w:val="Cmsor2Char"/>
          <w:rFonts w:ascii="Times New Roman" w:hAnsi="Times New Roman" w:cs="Times New Roman"/>
        </w:rPr>
      </w:pPr>
    </w:p>
    <w:p w:rsidR="00E376DE" w:rsidRDefault="00E376DE" w:rsidP="0069191A">
      <w:pPr>
        <w:spacing w:line="360" w:lineRule="auto"/>
        <w:jc w:val="both"/>
        <w:rPr>
          <w:rStyle w:val="Cmsor2Char"/>
          <w:rFonts w:ascii="Times New Roman" w:hAnsi="Times New Roman" w:cs="Times New Roman"/>
        </w:rPr>
      </w:pPr>
    </w:p>
    <w:p w:rsidR="00E376DE" w:rsidRDefault="00E376DE" w:rsidP="0069191A">
      <w:pPr>
        <w:spacing w:line="360" w:lineRule="auto"/>
        <w:jc w:val="both"/>
        <w:rPr>
          <w:rStyle w:val="Cmsor2Char"/>
          <w:rFonts w:ascii="Times New Roman" w:hAnsi="Times New Roman" w:cs="Times New Roman"/>
        </w:rPr>
      </w:pPr>
    </w:p>
    <w:p w:rsidR="00E376DE" w:rsidRDefault="00E376DE" w:rsidP="0069191A">
      <w:pPr>
        <w:spacing w:line="360" w:lineRule="auto"/>
        <w:jc w:val="both"/>
        <w:rPr>
          <w:rStyle w:val="Cmsor2Char"/>
          <w:rFonts w:ascii="Times New Roman" w:hAnsi="Times New Roman" w:cs="Times New Roman"/>
        </w:rPr>
      </w:pPr>
    </w:p>
    <w:p w:rsidR="004F5106" w:rsidRPr="00413518" w:rsidRDefault="004F5106" w:rsidP="0069191A">
      <w:pPr>
        <w:spacing w:line="360" w:lineRule="auto"/>
        <w:jc w:val="both"/>
        <w:rPr>
          <w:rFonts w:ascii="Times New Roman" w:hAnsi="Times New Roman" w:cs="Times New Roman"/>
          <w:sz w:val="24"/>
          <w:szCs w:val="24"/>
        </w:rPr>
      </w:pPr>
      <w:bookmarkStart w:id="7" w:name="_Toc340927913"/>
      <w:r w:rsidRPr="00413518">
        <w:rPr>
          <w:rStyle w:val="Cmsor2Char"/>
          <w:rFonts w:ascii="Times New Roman" w:hAnsi="Times New Roman" w:cs="Times New Roman"/>
        </w:rPr>
        <w:lastRenderedPageBreak/>
        <w:t xml:space="preserve">III.1. </w:t>
      </w:r>
      <w:r w:rsidR="00BF1E2F">
        <w:rPr>
          <w:rStyle w:val="Cmsor2Char"/>
          <w:rFonts w:ascii="Times New Roman" w:hAnsi="Times New Roman" w:cs="Times New Roman"/>
        </w:rPr>
        <w:t>A s</w:t>
      </w:r>
      <w:r w:rsidRPr="00413518">
        <w:rPr>
          <w:rStyle w:val="Cmsor2Char"/>
          <w:rFonts w:ascii="Times New Roman" w:hAnsi="Times New Roman" w:cs="Times New Roman"/>
        </w:rPr>
        <w:t>véd</w:t>
      </w:r>
      <w:r w:rsidR="00BF1E2F">
        <w:rPr>
          <w:rStyle w:val="Cmsor2Char"/>
          <w:rFonts w:ascii="Times New Roman" w:hAnsi="Times New Roman" w:cs="Times New Roman"/>
        </w:rPr>
        <w:t xml:space="preserve"> szabályozás</w:t>
      </w:r>
      <w:bookmarkEnd w:id="7"/>
      <w:r w:rsidRPr="00413518">
        <w:rPr>
          <w:rStyle w:val="Cmsor2Char"/>
          <w:rFonts w:ascii="Times New Roman" w:hAnsi="Times New Roman" w:cs="Times New Roman"/>
        </w:rPr>
        <w:tab/>
      </w:r>
      <w:r w:rsidRPr="00413518">
        <w:rPr>
          <w:rStyle w:val="Cmsor2Char"/>
          <w:rFonts w:ascii="Times New Roman" w:hAnsi="Times New Roman" w:cs="Times New Roman"/>
        </w:rPr>
        <w:br/>
      </w:r>
      <w:r w:rsidR="00A5160D" w:rsidRPr="00413518">
        <w:rPr>
          <w:rFonts w:ascii="Times New Roman" w:hAnsi="Times New Roman" w:cs="Times New Roman"/>
          <w:sz w:val="24"/>
          <w:szCs w:val="24"/>
        </w:rPr>
        <w:br/>
      </w:r>
      <w:r w:rsidR="00A5160D" w:rsidRPr="00413518">
        <w:rPr>
          <w:rFonts w:ascii="Times New Roman" w:hAnsi="Times New Roman" w:cs="Times New Roman"/>
          <w:sz w:val="24"/>
          <w:szCs w:val="24"/>
        </w:rPr>
        <w:tab/>
      </w:r>
      <w:r w:rsidR="00E84682" w:rsidRPr="00413518">
        <w:rPr>
          <w:rFonts w:ascii="Times New Roman" w:hAnsi="Times New Roman" w:cs="Times New Roman"/>
          <w:sz w:val="24"/>
          <w:szCs w:val="24"/>
        </w:rPr>
        <w:t>Svédországban igen széles körben használják a környezetvédelmi adókat, díjakat és az egyéb gazdasági eszközöket annak érdekében, hogy a környezetvédelmi célokat minél hatékonyabban valósítsák meg.</w:t>
      </w:r>
      <w:r w:rsidR="00846525" w:rsidRPr="00413518">
        <w:rPr>
          <w:rStyle w:val="Lbjegyzet-hivatkozs"/>
          <w:sz w:val="24"/>
          <w:szCs w:val="24"/>
        </w:rPr>
        <w:footnoteReference w:id="76"/>
      </w:r>
      <w:r w:rsidR="00CB0E0C" w:rsidRPr="00413518">
        <w:rPr>
          <w:rFonts w:ascii="Times New Roman" w:hAnsi="Times New Roman" w:cs="Times New Roman"/>
          <w:sz w:val="24"/>
          <w:szCs w:val="24"/>
        </w:rPr>
        <w:tab/>
      </w:r>
    </w:p>
    <w:p w:rsidR="00C10E6B" w:rsidRPr="00413518" w:rsidRDefault="00793BC2" w:rsidP="0069191A">
      <w:pPr>
        <w:pStyle w:val="Listaszerbekezds"/>
        <w:numPr>
          <w:ilvl w:val="0"/>
          <w:numId w:val="2"/>
        </w:numPr>
        <w:spacing w:line="360" w:lineRule="auto"/>
        <w:ind w:left="284" w:hanging="284"/>
        <w:jc w:val="both"/>
        <w:rPr>
          <w:rStyle w:val="Kiemels"/>
          <w:rFonts w:ascii="Times New Roman" w:hAnsi="Times New Roman" w:cs="Times New Roman"/>
        </w:rPr>
      </w:pPr>
      <w:r w:rsidRPr="00413518">
        <w:rPr>
          <w:rStyle w:val="Kiemels"/>
          <w:rFonts w:ascii="Times New Roman" w:hAnsi="Times New Roman" w:cs="Times New Roman"/>
        </w:rPr>
        <w:t>Ábra</w:t>
      </w:r>
      <w:r w:rsidR="00C10E6B" w:rsidRPr="00413518">
        <w:rPr>
          <w:rStyle w:val="Kiemels"/>
          <w:rFonts w:ascii="Times New Roman" w:hAnsi="Times New Roman" w:cs="Times New Roman"/>
        </w:rPr>
        <w:t>: A svéd környezetvédelmi adózás, az energiaadó rendszere</w:t>
      </w:r>
    </w:p>
    <w:p w:rsidR="00C10E6B" w:rsidRDefault="00C10E6B" w:rsidP="0069191A">
      <w:pPr>
        <w:spacing w:line="360" w:lineRule="auto"/>
        <w:jc w:val="both"/>
        <w:rPr>
          <w:rFonts w:ascii="Times New Roman" w:hAnsi="Times New Roman" w:cs="Times New Roman"/>
          <w:sz w:val="24"/>
          <w:szCs w:val="24"/>
        </w:rPr>
      </w:pPr>
      <w:r w:rsidRPr="00413518">
        <w:rPr>
          <w:rFonts w:ascii="Times New Roman" w:hAnsi="Times New Roman" w:cs="Times New Roman"/>
          <w:noProof/>
          <w:sz w:val="24"/>
          <w:szCs w:val="24"/>
        </w:rPr>
        <w:drawing>
          <wp:inline distT="0" distB="0" distL="0" distR="0">
            <wp:extent cx="5486400" cy="3200400"/>
            <wp:effectExtent l="0" t="0" r="0" b="19050"/>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254408" w:rsidRPr="00254408" w:rsidRDefault="00254408" w:rsidP="00254408">
      <w:pPr>
        <w:spacing w:line="360" w:lineRule="auto"/>
        <w:ind w:left="6372"/>
        <w:jc w:val="both"/>
        <w:rPr>
          <w:rFonts w:ascii="Times New Roman" w:hAnsi="Times New Roman" w:cs="Times New Roman"/>
          <w:sz w:val="24"/>
          <w:szCs w:val="24"/>
        </w:rPr>
      </w:pPr>
      <w:r>
        <w:rPr>
          <w:rFonts w:ascii="Times New Roman" w:hAnsi="Times New Roman" w:cs="Times New Roman"/>
          <w:b/>
          <w:i/>
          <w:sz w:val="24"/>
          <w:szCs w:val="24"/>
        </w:rPr>
        <w:t xml:space="preserve">Forrás: </w:t>
      </w:r>
      <w:r>
        <w:rPr>
          <w:rFonts w:ascii="Times New Roman" w:hAnsi="Times New Roman" w:cs="Times New Roman"/>
          <w:sz w:val="24"/>
          <w:szCs w:val="24"/>
        </w:rPr>
        <w:t>saját szerkesztés</w:t>
      </w:r>
    </w:p>
    <w:p w:rsidR="00CF6C74" w:rsidRDefault="00C10E6B" w:rsidP="0069191A">
      <w:pPr>
        <w:spacing w:line="360" w:lineRule="auto"/>
        <w:jc w:val="both"/>
        <w:rPr>
          <w:rFonts w:ascii="Times New Roman" w:hAnsi="Times New Roman" w:cs="Times New Roman"/>
          <w:sz w:val="24"/>
          <w:szCs w:val="24"/>
        </w:rPr>
      </w:pPr>
      <w:r w:rsidRPr="00413518">
        <w:rPr>
          <w:rFonts w:ascii="Times New Roman" w:hAnsi="Times New Roman" w:cs="Times New Roman"/>
          <w:sz w:val="24"/>
          <w:szCs w:val="24"/>
        </w:rPr>
        <w:tab/>
      </w:r>
      <w:r w:rsidR="00E84682" w:rsidRPr="00413518">
        <w:rPr>
          <w:rFonts w:ascii="Times New Roman" w:hAnsi="Times New Roman" w:cs="Times New Roman"/>
          <w:sz w:val="24"/>
          <w:szCs w:val="24"/>
        </w:rPr>
        <w:t>A svéd kormány a csaknem 70-féle piaci alapú e</w:t>
      </w:r>
      <w:r w:rsidR="00CB0E0C" w:rsidRPr="00413518">
        <w:rPr>
          <w:rFonts w:ascii="Times New Roman" w:hAnsi="Times New Roman" w:cs="Times New Roman"/>
          <w:sz w:val="24"/>
          <w:szCs w:val="24"/>
        </w:rPr>
        <w:t>szközével kijelentette, hogy: „</w:t>
      </w:r>
      <w:r w:rsidR="00E84682" w:rsidRPr="00413518">
        <w:rPr>
          <w:rFonts w:ascii="Times New Roman" w:hAnsi="Times New Roman" w:cs="Times New Roman"/>
          <w:sz w:val="24"/>
          <w:szCs w:val="24"/>
        </w:rPr>
        <w:t>valójában több gazdasági eszközzel rendelkezünk a környezetvédelem területén, mint a többi tagállam. Az éves bevételek szintjén pedig a környezetvédelmi adókból származó bevételeink 7 milliárd eurót</w:t>
      </w:r>
      <w:r w:rsidR="006B02CA">
        <w:rPr>
          <w:rStyle w:val="Lbjegyzet-hivatkozs"/>
          <w:sz w:val="24"/>
          <w:szCs w:val="24"/>
        </w:rPr>
        <w:footnoteReference w:id="77"/>
      </w:r>
      <w:r w:rsidR="00E84682" w:rsidRPr="00413518">
        <w:rPr>
          <w:rFonts w:ascii="Times New Roman" w:hAnsi="Times New Roman" w:cs="Times New Roman"/>
          <w:sz w:val="24"/>
          <w:szCs w:val="24"/>
        </w:rPr>
        <w:t xml:space="preserve"> tesznek ki. </w:t>
      </w:r>
      <w:r w:rsidR="006B02CA">
        <w:rPr>
          <w:rFonts w:ascii="Times New Roman" w:hAnsi="Times New Roman" w:cs="Times New Roman"/>
          <w:sz w:val="24"/>
          <w:szCs w:val="24"/>
        </w:rPr>
        <w:t>„</w:t>
      </w:r>
      <w:r w:rsidR="00E84682" w:rsidRPr="00413518">
        <w:rPr>
          <w:rStyle w:val="Lbjegyzet-hivatkozs"/>
          <w:sz w:val="24"/>
          <w:szCs w:val="24"/>
        </w:rPr>
        <w:footnoteReference w:id="78"/>
      </w:r>
      <w:r w:rsidR="00E84682" w:rsidRPr="00413518">
        <w:rPr>
          <w:rFonts w:ascii="Times New Roman" w:hAnsi="Times New Roman" w:cs="Times New Roman"/>
          <w:sz w:val="24"/>
          <w:szCs w:val="24"/>
        </w:rPr>
        <w:t xml:space="preserve"> </w:t>
      </w:r>
      <w:r w:rsidR="004A6BDC" w:rsidRPr="00413518">
        <w:rPr>
          <w:rFonts w:ascii="Times New Roman" w:hAnsi="Times New Roman" w:cs="Times New Roman"/>
          <w:sz w:val="24"/>
          <w:szCs w:val="24"/>
        </w:rPr>
        <w:t xml:space="preserve">A svéd energia- és szénadó rendszer nagyon széleskörű és </w:t>
      </w:r>
      <w:r w:rsidR="004A6BDC" w:rsidRPr="00413518">
        <w:rPr>
          <w:rFonts w:ascii="Times New Roman" w:hAnsi="Times New Roman" w:cs="Times New Roman"/>
          <w:i/>
          <w:sz w:val="24"/>
          <w:szCs w:val="24"/>
        </w:rPr>
        <w:t>négy adónemet</w:t>
      </w:r>
      <w:r w:rsidR="004A6BDC" w:rsidRPr="00413518">
        <w:rPr>
          <w:rFonts w:ascii="Times New Roman" w:hAnsi="Times New Roman" w:cs="Times New Roman"/>
          <w:sz w:val="24"/>
          <w:szCs w:val="24"/>
        </w:rPr>
        <w:t xml:space="preserve"> tartalmaz.</w:t>
      </w:r>
      <w:r w:rsidR="004A6BDC" w:rsidRPr="00413518">
        <w:rPr>
          <w:rStyle w:val="Lbjegyzet-hivatkozs"/>
          <w:sz w:val="24"/>
          <w:szCs w:val="24"/>
        </w:rPr>
        <w:footnoteReference w:id="79"/>
      </w:r>
      <w:r w:rsidR="004A6BDC" w:rsidRPr="00413518">
        <w:rPr>
          <w:rFonts w:ascii="Times New Roman" w:hAnsi="Times New Roman" w:cs="Times New Roman"/>
          <w:sz w:val="24"/>
          <w:szCs w:val="24"/>
        </w:rPr>
        <w:t xml:space="preserve"> </w:t>
      </w:r>
      <w:r w:rsidR="005E3896" w:rsidRPr="00413518">
        <w:rPr>
          <w:rFonts w:ascii="Times New Roman" w:hAnsi="Times New Roman" w:cs="Times New Roman"/>
          <w:sz w:val="24"/>
          <w:szCs w:val="24"/>
        </w:rPr>
        <w:t xml:space="preserve">A közlekedési ágazat energiaadó terheit a svédek először a </w:t>
      </w:r>
      <w:r w:rsidR="005E3896" w:rsidRPr="00413518">
        <w:rPr>
          <w:rFonts w:ascii="Times New Roman" w:hAnsi="Times New Roman" w:cs="Times New Roman"/>
          <w:i/>
          <w:sz w:val="24"/>
          <w:szCs w:val="24"/>
        </w:rPr>
        <w:lastRenderedPageBreak/>
        <w:t>benzinre</w:t>
      </w:r>
      <w:r w:rsidR="005E3896" w:rsidRPr="00413518">
        <w:rPr>
          <w:rFonts w:ascii="Times New Roman" w:hAnsi="Times New Roman" w:cs="Times New Roman"/>
          <w:sz w:val="24"/>
          <w:szCs w:val="24"/>
        </w:rPr>
        <w:t xml:space="preserve"> vezették be 1924-ben, majd kiterjesztették a </w:t>
      </w:r>
      <w:r w:rsidR="005E3896" w:rsidRPr="00413518">
        <w:rPr>
          <w:rFonts w:ascii="Times New Roman" w:hAnsi="Times New Roman" w:cs="Times New Roman"/>
          <w:i/>
          <w:sz w:val="24"/>
          <w:szCs w:val="24"/>
        </w:rPr>
        <w:t>dízelre</w:t>
      </w:r>
      <w:r w:rsidR="005E3896" w:rsidRPr="00413518">
        <w:rPr>
          <w:rFonts w:ascii="Times New Roman" w:hAnsi="Times New Roman" w:cs="Times New Roman"/>
          <w:sz w:val="24"/>
          <w:szCs w:val="24"/>
        </w:rPr>
        <w:t xml:space="preserve"> is 1937-ben.</w:t>
      </w:r>
      <w:r w:rsidR="005E3896" w:rsidRPr="00413518">
        <w:rPr>
          <w:rStyle w:val="Lbjegyzet-hivatkozs"/>
          <w:sz w:val="24"/>
          <w:szCs w:val="24"/>
        </w:rPr>
        <w:footnoteReference w:id="80"/>
      </w:r>
      <w:r w:rsidR="005E3896" w:rsidRPr="00413518">
        <w:rPr>
          <w:rFonts w:ascii="Times New Roman" w:hAnsi="Times New Roman" w:cs="Times New Roman"/>
          <w:sz w:val="24"/>
          <w:szCs w:val="24"/>
        </w:rPr>
        <w:t xml:space="preserve"> 1957-ben Svédország újabb energiaadót vetett ki, amelynek a tárgyai a </w:t>
      </w:r>
      <w:r w:rsidR="005E3896" w:rsidRPr="00B20C58">
        <w:rPr>
          <w:rFonts w:ascii="Times New Roman" w:hAnsi="Times New Roman" w:cs="Times New Roman"/>
          <w:i/>
          <w:sz w:val="24"/>
          <w:szCs w:val="24"/>
        </w:rPr>
        <w:t xml:space="preserve">fosszilis </w:t>
      </w:r>
      <w:r w:rsidR="007D43EB" w:rsidRPr="00B20C58">
        <w:rPr>
          <w:rFonts w:ascii="Times New Roman" w:hAnsi="Times New Roman" w:cs="Times New Roman"/>
          <w:i/>
          <w:sz w:val="24"/>
          <w:szCs w:val="24"/>
        </w:rPr>
        <w:t>tüzelőanyagok</w:t>
      </w:r>
      <w:r w:rsidR="005E3896" w:rsidRPr="00413518">
        <w:rPr>
          <w:rFonts w:ascii="Times New Roman" w:hAnsi="Times New Roman" w:cs="Times New Roman"/>
          <w:sz w:val="24"/>
          <w:szCs w:val="24"/>
        </w:rPr>
        <w:t xml:space="preserve">, mint energiahordozók voltak, de ezen a körön belül is szűkítést tehetünk, hiszen ennek az adónemnek csak az </w:t>
      </w:r>
      <w:r w:rsidR="005E3896" w:rsidRPr="00413518">
        <w:rPr>
          <w:rFonts w:ascii="Times New Roman" w:hAnsi="Times New Roman" w:cs="Times New Roman"/>
          <w:i/>
          <w:sz w:val="24"/>
          <w:szCs w:val="24"/>
        </w:rPr>
        <w:t>ásványi olajok</w:t>
      </w:r>
      <w:r w:rsidR="005E3896" w:rsidRPr="00413518">
        <w:rPr>
          <w:rFonts w:ascii="Times New Roman" w:hAnsi="Times New Roman" w:cs="Times New Roman"/>
          <w:sz w:val="24"/>
          <w:szCs w:val="24"/>
        </w:rPr>
        <w:t xml:space="preserve"> és a </w:t>
      </w:r>
      <w:r w:rsidR="005E3896" w:rsidRPr="00413518">
        <w:rPr>
          <w:rFonts w:ascii="Times New Roman" w:hAnsi="Times New Roman" w:cs="Times New Roman"/>
          <w:i/>
          <w:sz w:val="24"/>
          <w:szCs w:val="24"/>
        </w:rPr>
        <w:t>szén</w:t>
      </w:r>
      <w:r w:rsidR="005E3896" w:rsidRPr="00413518">
        <w:rPr>
          <w:rFonts w:ascii="Times New Roman" w:hAnsi="Times New Roman" w:cs="Times New Roman"/>
          <w:sz w:val="24"/>
          <w:szCs w:val="24"/>
        </w:rPr>
        <w:t xml:space="preserve"> voltak az adótárgyai. Az adórendszer felülvizsgálatának köszönhetően</w:t>
      </w:r>
      <w:r w:rsidR="003E0439">
        <w:rPr>
          <w:rFonts w:ascii="Times New Roman" w:hAnsi="Times New Roman" w:cs="Times New Roman"/>
          <w:sz w:val="24"/>
          <w:szCs w:val="24"/>
        </w:rPr>
        <w:t>,</w:t>
      </w:r>
      <w:r w:rsidR="005E3896" w:rsidRPr="00413518">
        <w:rPr>
          <w:rFonts w:ascii="Times New Roman" w:hAnsi="Times New Roman" w:cs="Times New Roman"/>
          <w:sz w:val="24"/>
          <w:szCs w:val="24"/>
        </w:rPr>
        <w:t xml:space="preserve"> 1964-ben az energiaadót kiterjesztették a </w:t>
      </w:r>
      <w:r w:rsidR="005E3896" w:rsidRPr="00413518">
        <w:rPr>
          <w:rFonts w:ascii="Times New Roman" w:hAnsi="Times New Roman" w:cs="Times New Roman"/>
          <w:i/>
          <w:sz w:val="24"/>
          <w:szCs w:val="24"/>
        </w:rPr>
        <w:t>P</w:t>
      </w:r>
      <w:r w:rsidR="007D43EB" w:rsidRPr="00413518">
        <w:rPr>
          <w:rFonts w:ascii="Times New Roman" w:hAnsi="Times New Roman" w:cs="Times New Roman"/>
          <w:i/>
          <w:sz w:val="24"/>
          <w:szCs w:val="24"/>
        </w:rPr>
        <w:t>b</w:t>
      </w:r>
      <w:r w:rsidR="005E3896" w:rsidRPr="00413518">
        <w:rPr>
          <w:rFonts w:ascii="Times New Roman" w:hAnsi="Times New Roman" w:cs="Times New Roman"/>
          <w:i/>
          <w:sz w:val="24"/>
          <w:szCs w:val="24"/>
        </w:rPr>
        <w:t>-gázra</w:t>
      </w:r>
      <w:r w:rsidR="005E3896" w:rsidRPr="00413518">
        <w:rPr>
          <w:rFonts w:ascii="Times New Roman" w:hAnsi="Times New Roman" w:cs="Times New Roman"/>
          <w:sz w:val="24"/>
          <w:szCs w:val="24"/>
        </w:rPr>
        <w:t xml:space="preserve">, 1985-ben pedig a </w:t>
      </w:r>
      <w:r w:rsidR="005E3896" w:rsidRPr="00413518">
        <w:rPr>
          <w:rFonts w:ascii="Times New Roman" w:hAnsi="Times New Roman" w:cs="Times New Roman"/>
          <w:i/>
          <w:sz w:val="24"/>
          <w:szCs w:val="24"/>
        </w:rPr>
        <w:t>földgázra</w:t>
      </w:r>
      <w:r w:rsidR="005E3896" w:rsidRPr="00413518">
        <w:rPr>
          <w:rFonts w:ascii="Times New Roman" w:hAnsi="Times New Roman" w:cs="Times New Roman"/>
          <w:sz w:val="24"/>
          <w:szCs w:val="24"/>
        </w:rPr>
        <w:t>. Megállapítható továbbá, hogy az adónem bevezetése óta folyamatosan emelkedett az adómértéke.</w:t>
      </w:r>
      <w:r w:rsidR="005E3896" w:rsidRPr="00413518">
        <w:rPr>
          <w:rStyle w:val="Lbjegyzet-hivatkozs"/>
          <w:sz w:val="24"/>
          <w:szCs w:val="24"/>
        </w:rPr>
        <w:footnoteReference w:id="81"/>
      </w:r>
      <w:r w:rsidR="003E0439">
        <w:rPr>
          <w:rFonts w:ascii="Times New Roman" w:hAnsi="Times New Roman" w:cs="Times New Roman"/>
          <w:sz w:val="24"/>
          <w:szCs w:val="24"/>
        </w:rPr>
        <w:t xml:space="preserve"> Magyarországon az energiaadó tárgya a villamos energia, a földgáz és a szén, így jól látható, hogy a svéd rendszerben a szabályozás milyen széleskörű.</w:t>
      </w:r>
      <w:r w:rsidR="005E3896" w:rsidRPr="00413518">
        <w:rPr>
          <w:rFonts w:ascii="Times New Roman" w:hAnsi="Times New Roman" w:cs="Times New Roman"/>
          <w:sz w:val="24"/>
          <w:szCs w:val="24"/>
        </w:rPr>
        <w:br/>
      </w:r>
      <w:r w:rsidR="005E3896" w:rsidRPr="00413518">
        <w:rPr>
          <w:rFonts w:ascii="Times New Roman" w:hAnsi="Times New Roman" w:cs="Times New Roman"/>
          <w:sz w:val="24"/>
          <w:szCs w:val="24"/>
        </w:rPr>
        <w:tab/>
        <w:t xml:space="preserve">1991-ben vezették be a </w:t>
      </w:r>
      <w:r w:rsidR="005E3896" w:rsidRPr="00413518">
        <w:rPr>
          <w:rFonts w:ascii="Times New Roman" w:hAnsi="Times New Roman" w:cs="Times New Roman"/>
          <w:i/>
          <w:sz w:val="24"/>
          <w:szCs w:val="24"/>
        </w:rPr>
        <w:t>szén-dioxid</w:t>
      </w:r>
      <w:r w:rsidR="005E3896" w:rsidRPr="00413518">
        <w:rPr>
          <w:rFonts w:ascii="Times New Roman" w:hAnsi="Times New Roman" w:cs="Times New Roman"/>
          <w:sz w:val="24"/>
          <w:szCs w:val="24"/>
        </w:rPr>
        <w:t xml:space="preserve"> adót, amely az adórendszer teljes felülvizsgálatának az eredménye. </w:t>
      </w:r>
      <w:r w:rsidR="007D43EB" w:rsidRPr="00413518">
        <w:rPr>
          <w:rFonts w:ascii="Times New Roman" w:hAnsi="Times New Roman" w:cs="Times New Roman"/>
          <w:sz w:val="24"/>
          <w:szCs w:val="24"/>
        </w:rPr>
        <w:t>Annak ellenére, hogy 1990-ben az adómértékek csúcsokat döntöttek, mégis folyamatosan csökkentek a mértékek, hiszen ezzel kompenzálták az új CO</w:t>
      </w:r>
      <w:r w:rsidR="007D43EB" w:rsidRPr="00413518">
        <w:rPr>
          <w:rFonts w:ascii="Times New Roman" w:hAnsi="Times New Roman" w:cs="Times New Roman"/>
          <w:sz w:val="24"/>
          <w:szCs w:val="24"/>
          <w:vertAlign w:val="subscript"/>
        </w:rPr>
        <w:t>2</w:t>
      </w:r>
      <w:r w:rsidR="007D43EB" w:rsidRPr="00413518">
        <w:rPr>
          <w:rFonts w:ascii="Times New Roman" w:hAnsi="Times New Roman" w:cs="Times New Roman"/>
          <w:sz w:val="24"/>
          <w:szCs w:val="24"/>
        </w:rPr>
        <w:t>-adó végrehajtásával felmerülő új adóterheket.</w:t>
      </w:r>
      <w:r w:rsidR="007D43EB" w:rsidRPr="00413518">
        <w:rPr>
          <w:rStyle w:val="Lbjegyzet-hivatkozs"/>
          <w:sz w:val="24"/>
          <w:szCs w:val="24"/>
        </w:rPr>
        <w:footnoteReference w:id="82"/>
      </w:r>
      <w:r w:rsidR="007D43EB" w:rsidRPr="00413518">
        <w:rPr>
          <w:rFonts w:ascii="Times New Roman" w:hAnsi="Times New Roman" w:cs="Times New Roman"/>
          <w:sz w:val="24"/>
          <w:szCs w:val="24"/>
        </w:rPr>
        <w:t xml:space="preserve"> A szénadót az adott fosszilis tüzelőanyag szén tartalmával megegyező mértékben határozták meg. 1991-ben a szénadó mértéke 43 euró/ tonna szén volt, amely 2007-re egészen 100 euró/ tonna mértékre emelkedett, sőt 2008-ban elérte a 106 euró/tonna értéket is.</w:t>
      </w:r>
      <w:r w:rsidR="007D43EB" w:rsidRPr="00413518">
        <w:rPr>
          <w:rStyle w:val="Lbjegyzet-hivatkozs"/>
          <w:sz w:val="24"/>
          <w:szCs w:val="24"/>
        </w:rPr>
        <w:footnoteReference w:id="83"/>
      </w:r>
      <w:r w:rsidR="007D43EB" w:rsidRPr="00413518">
        <w:rPr>
          <w:rFonts w:ascii="Times New Roman" w:hAnsi="Times New Roman" w:cs="Times New Roman"/>
          <w:sz w:val="24"/>
          <w:szCs w:val="24"/>
        </w:rPr>
        <w:t xml:space="preserve"> </w:t>
      </w:r>
      <w:r w:rsidR="007D43EB" w:rsidRPr="00413518">
        <w:rPr>
          <w:rFonts w:ascii="Times New Roman" w:hAnsi="Times New Roman" w:cs="Times New Roman"/>
          <w:sz w:val="24"/>
          <w:szCs w:val="24"/>
        </w:rPr>
        <w:tab/>
      </w:r>
      <w:r w:rsidR="00AA7792" w:rsidRPr="00413518">
        <w:rPr>
          <w:rFonts w:ascii="Times New Roman" w:hAnsi="Times New Roman" w:cs="Times New Roman"/>
          <w:sz w:val="24"/>
          <w:szCs w:val="24"/>
        </w:rPr>
        <w:t xml:space="preserve">Szintén 1991-ben, a szénadóval párhuzamosan vezették be a </w:t>
      </w:r>
      <w:r w:rsidR="00AA7792" w:rsidRPr="00413518">
        <w:rPr>
          <w:rFonts w:ascii="Times New Roman" w:hAnsi="Times New Roman" w:cs="Times New Roman"/>
          <w:i/>
          <w:sz w:val="24"/>
          <w:szCs w:val="24"/>
        </w:rPr>
        <w:t>kénadót</w:t>
      </w:r>
      <w:r w:rsidR="00AA7792" w:rsidRPr="00413518">
        <w:rPr>
          <w:rFonts w:ascii="Times New Roman" w:hAnsi="Times New Roman" w:cs="Times New Roman"/>
          <w:sz w:val="24"/>
          <w:szCs w:val="24"/>
        </w:rPr>
        <w:t>. Ez volt a svéd rendszer harmadik alkotóeleme. Az adót a szénre, a nehéz fűtőolajra és a tőzegre, mint fűtőolajra vetették ki. Azon fűtőolajok, vagy tüzelőanyagok vonatkozásában</w:t>
      </w:r>
      <w:r w:rsidR="00B20C58">
        <w:rPr>
          <w:rFonts w:ascii="Times New Roman" w:hAnsi="Times New Roman" w:cs="Times New Roman"/>
          <w:sz w:val="24"/>
          <w:szCs w:val="24"/>
        </w:rPr>
        <w:t>, ahol</w:t>
      </w:r>
      <w:r w:rsidR="00AA7792" w:rsidRPr="00413518">
        <w:rPr>
          <w:rFonts w:ascii="Times New Roman" w:hAnsi="Times New Roman" w:cs="Times New Roman"/>
          <w:sz w:val="24"/>
          <w:szCs w:val="24"/>
        </w:rPr>
        <w:t xml:space="preserve"> a kén tartalom nem éri el a 0,05%-ot adómentességet élveznek. Mindazonáltal az adónem környezetvédelmi hatékonysága megkérdőjelezhető, hiszen a bevezetésétől kezdve nem került sor mértékbeli emelésre, még az adórendszer felülvizsgálata során sem.</w:t>
      </w:r>
      <w:r w:rsidR="00AA7792" w:rsidRPr="00413518">
        <w:rPr>
          <w:rStyle w:val="Lbjegyzet-hivatkozs"/>
          <w:sz w:val="24"/>
          <w:szCs w:val="24"/>
        </w:rPr>
        <w:footnoteReference w:id="84"/>
      </w:r>
      <w:r w:rsidR="00AA7792" w:rsidRPr="00413518">
        <w:rPr>
          <w:rFonts w:ascii="Times New Roman" w:hAnsi="Times New Roman" w:cs="Times New Roman"/>
          <w:sz w:val="24"/>
          <w:szCs w:val="24"/>
        </w:rPr>
        <w:tab/>
      </w:r>
      <w:r w:rsidR="00AA7792" w:rsidRPr="00413518">
        <w:rPr>
          <w:rFonts w:ascii="Times New Roman" w:hAnsi="Times New Roman" w:cs="Times New Roman"/>
          <w:sz w:val="24"/>
          <w:szCs w:val="24"/>
        </w:rPr>
        <w:br/>
      </w:r>
      <w:r w:rsidR="00AA7792" w:rsidRPr="00413518">
        <w:rPr>
          <w:rFonts w:ascii="Times New Roman" w:hAnsi="Times New Roman" w:cs="Times New Roman"/>
          <w:sz w:val="24"/>
          <w:szCs w:val="24"/>
        </w:rPr>
        <w:tab/>
        <w:t xml:space="preserve">Végül az utolsó adót, a </w:t>
      </w:r>
      <w:r w:rsidR="00AA7792" w:rsidRPr="00413518">
        <w:rPr>
          <w:rFonts w:ascii="Times New Roman" w:hAnsi="Times New Roman" w:cs="Times New Roman"/>
          <w:i/>
          <w:sz w:val="24"/>
          <w:szCs w:val="24"/>
        </w:rPr>
        <w:t>nitrogén-oxid</w:t>
      </w:r>
      <w:r w:rsidR="00AA7792" w:rsidRPr="00413518">
        <w:rPr>
          <w:rFonts w:ascii="Times New Roman" w:hAnsi="Times New Roman" w:cs="Times New Roman"/>
          <w:sz w:val="24"/>
          <w:szCs w:val="24"/>
        </w:rPr>
        <w:t xml:space="preserve"> adót, amelyet a szakirodalom tulajdonképpen díjként</w:t>
      </w:r>
      <w:r w:rsidR="00AA7792" w:rsidRPr="00413518">
        <w:rPr>
          <w:rStyle w:val="Lbjegyzet-hivatkozs"/>
          <w:sz w:val="24"/>
          <w:szCs w:val="24"/>
        </w:rPr>
        <w:footnoteReference w:id="85"/>
      </w:r>
      <w:r w:rsidR="00AA7792" w:rsidRPr="00413518">
        <w:rPr>
          <w:rFonts w:ascii="Times New Roman" w:hAnsi="Times New Roman" w:cs="Times New Roman"/>
          <w:sz w:val="24"/>
          <w:szCs w:val="24"/>
        </w:rPr>
        <w:t xml:space="preserve"> emleget, 1992-ben vezették be. Eredetileg az adót az NO</w:t>
      </w:r>
      <w:r w:rsidR="00AA7792" w:rsidRPr="00413518">
        <w:rPr>
          <w:rFonts w:ascii="Times New Roman" w:hAnsi="Times New Roman" w:cs="Times New Roman"/>
          <w:sz w:val="24"/>
          <w:szCs w:val="24"/>
          <w:vertAlign w:val="subscript"/>
        </w:rPr>
        <w:t>X</w:t>
      </w:r>
      <w:r w:rsidR="00AA7792" w:rsidRPr="00413518">
        <w:rPr>
          <w:rFonts w:ascii="Times New Roman" w:hAnsi="Times New Roman" w:cs="Times New Roman"/>
          <w:sz w:val="24"/>
          <w:szCs w:val="24"/>
        </w:rPr>
        <w:t xml:space="preserve"> gázokat kibocsátó tüzelőberendezésekre vetették ki, amelyek legalább 50 GWh áramot állítanak elő, de ezt később kiterjesztették olyan tü</w:t>
      </w:r>
      <w:r w:rsidR="004F1AC4" w:rsidRPr="00413518">
        <w:rPr>
          <w:rFonts w:ascii="Times New Roman" w:hAnsi="Times New Roman" w:cs="Times New Roman"/>
          <w:sz w:val="24"/>
          <w:szCs w:val="24"/>
        </w:rPr>
        <w:t>zelőberendezésekre, amelyek 25 GWh állítanak elő, így lejjebb vitték a követelményeket. E szerint a teljes NO</w:t>
      </w:r>
      <w:r w:rsidR="004F1AC4" w:rsidRPr="00413518">
        <w:rPr>
          <w:rFonts w:ascii="Times New Roman" w:hAnsi="Times New Roman" w:cs="Times New Roman"/>
          <w:sz w:val="24"/>
          <w:szCs w:val="24"/>
          <w:vertAlign w:val="subscript"/>
        </w:rPr>
        <w:t>X</w:t>
      </w:r>
      <w:r w:rsidR="004F1AC4" w:rsidRPr="00413518">
        <w:rPr>
          <w:rFonts w:ascii="Times New Roman" w:hAnsi="Times New Roman" w:cs="Times New Roman"/>
          <w:sz w:val="24"/>
          <w:szCs w:val="24"/>
        </w:rPr>
        <w:t xml:space="preserve"> kibocsátás 5%-át fedik le ezek a díjak. </w:t>
      </w:r>
      <w:r w:rsidR="004F1AC4" w:rsidRPr="00413518">
        <w:rPr>
          <w:rStyle w:val="Lbjegyzet-hivatkozs"/>
          <w:sz w:val="24"/>
          <w:szCs w:val="24"/>
        </w:rPr>
        <w:footnoteReference w:id="86"/>
      </w:r>
      <w:r w:rsidR="003E0439">
        <w:rPr>
          <w:rFonts w:ascii="Times New Roman" w:hAnsi="Times New Roman" w:cs="Times New Roman"/>
          <w:sz w:val="24"/>
          <w:szCs w:val="24"/>
        </w:rPr>
        <w:t xml:space="preserve"> Hazánkban az utolsó 3 adónemet az adórendszerünk explicite nem tartalmazza, hiszen részese </w:t>
      </w:r>
      <w:r w:rsidR="003E0439">
        <w:rPr>
          <w:rFonts w:ascii="Times New Roman" w:hAnsi="Times New Roman" w:cs="Times New Roman"/>
          <w:sz w:val="24"/>
          <w:szCs w:val="24"/>
        </w:rPr>
        <w:lastRenderedPageBreak/>
        <w:t>vagyunk az EU ETS-nek, így a káros gázok kibocsátása ott került szabályozásra.</w:t>
      </w:r>
      <w:r w:rsidR="003E0439">
        <w:rPr>
          <w:rStyle w:val="Lbjegyzet-hivatkozs"/>
          <w:sz w:val="24"/>
          <w:szCs w:val="24"/>
        </w:rPr>
        <w:footnoteReference w:id="87"/>
      </w:r>
      <w:r w:rsidR="004F1AC4" w:rsidRPr="00413518">
        <w:rPr>
          <w:rFonts w:ascii="Times New Roman" w:hAnsi="Times New Roman" w:cs="Times New Roman"/>
          <w:sz w:val="24"/>
          <w:szCs w:val="24"/>
        </w:rPr>
        <w:br/>
      </w:r>
      <w:r w:rsidR="004F1AC4" w:rsidRPr="00413518">
        <w:rPr>
          <w:rFonts w:ascii="Times New Roman" w:hAnsi="Times New Roman" w:cs="Times New Roman"/>
          <w:sz w:val="24"/>
          <w:szCs w:val="24"/>
        </w:rPr>
        <w:tab/>
        <w:t xml:space="preserve">1995-óta Svédországban az energiaadók mértéket a fogyasztói árindexhez kapcsolták, így </w:t>
      </w:r>
      <w:r w:rsidR="003E0439">
        <w:rPr>
          <w:rFonts w:ascii="Times New Roman" w:hAnsi="Times New Roman" w:cs="Times New Roman"/>
          <w:sz w:val="24"/>
          <w:szCs w:val="24"/>
        </w:rPr>
        <w:t xml:space="preserve">azok </w:t>
      </w:r>
      <w:r w:rsidR="004F1AC4" w:rsidRPr="00413518">
        <w:rPr>
          <w:rFonts w:ascii="Times New Roman" w:hAnsi="Times New Roman" w:cs="Times New Roman"/>
          <w:sz w:val="24"/>
          <w:szCs w:val="24"/>
        </w:rPr>
        <w:t>konstans</w:t>
      </w:r>
      <w:r w:rsidR="003E0439">
        <w:rPr>
          <w:rFonts w:ascii="Times New Roman" w:hAnsi="Times New Roman" w:cs="Times New Roman"/>
          <w:sz w:val="24"/>
          <w:szCs w:val="24"/>
        </w:rPr>
        <w:t>ak</w:t>
      </w:r>
      <w:r w:rsidR="004F1AC4" w:rsidRPr="00413518">
        <w:rPr>
          <w:rFonts w:ascii="Times New Roman" w:hAnsi="Times New Roman" w:cs="Times New Roman"/>
          <w:sz w:val="24"/>
          <w:szCs w:val="24"/>
        </w:rPr>
        <w:t>, valódi</w:t>
      </w:r>
      <w:r w:rsidR="003E0439">
        <w:rPr>
          <w:rFonts w:ascii="Times New Roman" w:hAnsi="Times New Roman" w:cs="Times New Roman"/>
          <w:sz w:val="24"/>
          <w:szCs w:val="24"/>
        </w:rPr>
        <w:t>ak</w:t>
      </w:r>
      <w:r w:rsidR="004F1AC4" w:rsidRPr="00413518">
        <w:rPr>
          <w:rFonts w:ascii="Times New Roman" w:hAnsi="Times New Roman" w:cs="Times New Roman"/>
          <w:sz w:val="24"/>
          <w:szCs w:val="24"/>
        </w:rPr>
        <w:t>.</w:t>
      </w:r>
      <w:r w:rsidR="004F1AC4" w:rsidRPr="00413518">
        <w:rPr>
          <w:rStyle w:val="Lbjegyzet-hivatkozs"/>
          <w:sz w:val="24"/>
          <w:szCs w:val="24"/>
        </w:rPr>
        <w:footnoteReference w:id="88"/>
      </w:r>
      <w:r w:rsidR="004F1AC4" w:rsidRPr="00413518">
        <w:rPr>
          <w:rFonts w:ascii="Times New Roman" w:hAnsi="Times New Roman" w:cs="Times New Roman"/>
          <w:sz w:val="24"/>
          <w:szCs w:val="24"/>
        </w:rPr>
        <w:tab/>
      </w:r>
      <w:r w:rsidR="004F1AC4" w:rsidRPr="00413518">
        <w:rPr>
          <w:rFonts w:ascii="Times New Roman" w:hAnsi="Times New Roman" w:cs="Times New Roman"/>
          <w:sz w:val="24"/>
          <w:szCs w:val="24"/>
        </w:rPr>
        <w:br/>
      </w:r>
      <w:r w:rsidR="004F1AC4" w:rsidRPr="00413518">
        <w:rPr>
          <w:rFonts w:ascii="Times New Roman" w:hAnsi="Times New Roman" w:cs="Times New Roman"/>
          <w:sz w:val="24"/>
          <w:szCs w:val="24"/>
        </w:rPr>
        <w:tab/>
        <w:t>A svédek által kidolgozott és kifejlesztett energiaadózási rendszer az egyik, ha nem az egyetlen legérdekesebb energiaadózási rendszer Európában. Az utóbbi 15 éves fejlődésből számos vonzó tulajdonsággal bővült az adórendszer. Ez részben annak is köszönhető, hogy szinte majdnem mi</w:t>
      </w:r>
      <w:r w:rsidR="003E0439">
        <w:rPr>
          <w:rFonts w:ascii="Times New Roman" w:hAnsi="Times New Roman" w:cs="Times New Roman"/>
          <w:sz w:val="24"/>
          <w:szCs w:val="24"/>
        </w:rPr>
        <w:t xml:space="preserve">nden évben felülvizsgálták, hiszen féltek </w:t>
      </w:r>
      <w:r w:rsidR="004F1AC4" w:rsidRPr="00413518">
        <w:rPr>
          <w:rFonts w:ascii="Times New Roman" w:hAnsi="Times New Roman" w:cs="Times New Roman"/>
          <w:sz w:val="24"/>
          <w:szCs w:val="24"/>
        </w:rPr>
        <w:t>attól, hogy a saját vállalataik elveszítik versenyképességüket a külföldi vállalatokkal szemben. Az egyik legszembetűnőbb tulajdonsága az 1991-ben beevezetett CO</w:t>
      </w:r>
      <w:r w:rsidR="004F1AC4" w:rsidRPr="00413518">
        <w:rPr>
          <w:rFonts w:ascii="Times New Roman" w:hAnsi="Times New Roman" w:cs="Times New Roman"/>
          <w:sz w:val="24"/>
          <w:szCs w:val="24"/>
          <w:vertAlign w:val="subscript"/>
        </w:rPr>
        <w:t>2</w:t>
      </w:r>
      <w:r w:rsidR="004F1AC4" w:rsidRPr="00413518">
        <w:rPr>
          <w:rFonts w:ascii="Times New Roman" w:hAnsi="Times New Roman" w:cs="Times New Roman"/>
          <w:sz w:val="24"/>
          <w:szCs w:val="24"/>
        </w:rPr>
        <w:t xml:space="preserve"> adó. A legfontosabb, hogy nem biztosítottak a svéd vállalatok számára speciális adózási rendelkezéseket (vagyis csökkentett adómértéket), amely az általános adókulcs jelentős növekedéséhez vezetett. </w:t>
      </w:r>
      <w:r w:rsidR="004F1AC4" w:rsidRPr="00413518">
        <w:rPr>
          <w:rStyle w:val="Lbjegyzet-hivatkozs"/>
          <w:sz w:val="24"/>
          <w:szCs w:val="24"/>
        </w:rPr>
        <w:footnoteReference w:id="89"/>
      </w:r>
      <w:r w:rsidR="004F1AC4" w:rsidRPr="00413518">
        <w:rPr>
          <w:rFonts w:ascii="Times New Roman" w:hAnsi="Times New Roman" w:cs="Times New Roman"/>
          <w:sz w:val="24"/>
          <w:szCs w:val="24"/>
        </w:rPr>
        <w:t xml:space="preserve"> Ez természetesen kihatott az energiatermékekre is, érdekes módon a közlekedési üzemanyagok kivételével.</w:t>
      </w:r>
      <w:r w:rsidR="004F1AC4" w:rsidRPr="00413518">
        <w:rPr>
          <w:rStyle w:val="Lbjegyzet-hivatkozs"/>
          <w:sz w:val="24"/>
          <w:szCs w:val="24"/>
        </w:rPr>
        <w:footnoteReference w:id="90"/>
      </w:r>
      <w:r w:rsidR="00BD46D5" w:rsidRPr="00413518">
        <w:rPr>
          <w:rFonts w:ascii="Times New Roman" w:hAnsi="Times New Roman" w:cs="Times New Roman"/>
          <w:sz w:val="24"/>
          <w:szCs w:val="24"/>
        </w:rPr>
        <w:t xml:space="preserve"> Következésképpen az ipari szektorra ugyanolyan adókulcsok vonatkoztak, mint a többi gazdasági szereplőre, így Európában itt volt a legmagasabb az ipari szektort terhelő szén-és energiaadó.</w:t>
      </w:r>
      <w:r w:rsidR="00BD46D5" w:rsidRPr="00413518">
        <w:rPr>
          <w:rStyle w:val="Lbjegyzet-hivatkozs"/>
          <w:sz w:val="24"/>
          <w:szCs w:val="24"/>
        </w:rPr>
        <w:footnoteReference w:id="91"/>
      </w:r>
      <w:r w:rsidR="003E0439">
        <w:rPr>
          <w:rFonts w:ascii="Times New Roman" w:hAnsi="Times New Roman" w:cs="Times New Roman"/>
          <w:sz w:val="24"/>
          <w:szCs w:val="24"/>
        </w:rPr>
        <w:t xml:space="preserve"> Mértékére tekintettel </w:t>
      </w:r>
      <w:r w:rsidR="00BD46D5" w:rsidRPr="00413518">
        <w:rPr>
          <w:rFonts w:ascii="Times New Roman" w:hAnsi="Times New Roman" w:cs="Times New Roman"/>
          <w:sz w:val="24"/>
          <w:szCs w:val="24"/>
        </w:rPr>
        <w:t>meghatároztak egy plafonértéket, amelyet</w:t>
      </w:r>
      <w:r w:rsidR="003E0439">
        <w:rPr>
          <w:rFonts w:ascii="Times New Roman" w:hAnsi="Times New Roman" w:cs="Times New Roman"/>
          <w:sz w:val="24"/>
          <w:szCs w:val="24"/>
        </w:rPr>
        <w:t xml:space="preserve"> </w:t>
      </w:r>
      <w:r w:rsidR="00BD46D5" w:rsidRPr="00413518">
        <w:rPr>
          <w:rFonts w:ascii="Times New Roman" w:hAnsi="Times New Roman" w:cs="Times New Roman"/>
          <w:sz w:val="24"/>
          <w:szCs w:val="24"/>
        </w:rPr>
        <w:t>semmilyen körülmények között nem léphetett át</w:t>
      </w:r>
      <w:r w:rsidR="003E0439">
        <w:rPr>
          <w:rFonts w:ascii="Times New Roman" w:hAnsi="Times New Roman" w:cs="Times New Roman"/>
          <w:sz w:val="24"/>
          <w:szCs w:val="24"/>
        </w:rPr>
        <w:t xml:space="preserve"> az adómértéke</w:t>
      </w:r>
      <w:r w:rsidR="00BD46D5" w:rsidRPr="00413518">
        <w:rPr>
          <w:rFonts w:ascii="Times New Roman" w:hAnsi="Times New Roman" w:cs="Times New Roman"/>
          <w:sz w:val="24"/>
          <w:szCs w:val="24"/>
        </w:rPr>
        <w:t>: 1991-ben nem léphette át a teljes eladás értékének az 1,7%-át, 1992-ben pedig az 1,2%-át.</w:t>
      </w:r>
      <w:r w:rsidR="00BD46D5" w:rsidRPr="00413518">
        <w:rPr>
          <w:rStyle w:val="Lbjegyzet-hivatkozs"/>
          <w:sz w:val="24"/>
          <w:szCs w:val="24"/>
        </w:rPr>
        <w:footnoteReference w:id="92"/>
      </w:r>
      <w:r w:rsidR="00BD46D5" w:rsidRPr="00413518">
        <w:rPr>
          <w:rFonts w:ascii="Times New Roman" w:hAnsi="Times New Roman" w:cs="Times New Roman"/>
          <w:sz w:val="24"/>
          <w:szCs w:val="24"/>
        </w:rPr>
        <w:tab/>
      </w:r>
      <w:r w:rsidR="00BD46D5" w:rsidRPr="00413518">
        <w:rPr>
          <w:rFonts w:ascii="Times New Roman" w:hAnsi="Times New Roman" w:cs="Times New Roman"/>
          <w:sz w:val="24"/>
          <w:szCs w:val="24"/>
        </w:rPr>
        <w:br/>
      </w:r>
      <w:r w:rsidR="00BD46D5" w:rsidRPr="00413518">
        <w:rPr>
          <w:rFonts w:ascii="Times New Roman" w:hAnsi="Times New Roman" w:cs="Times New Roman"/>
          <w:sz w:val="24"/>
          <w:szCs w:val="24"/>
        </w:rPr>
        <w:tab/>
        <w:t>Az adózási rendszer egyik jelentős felülvizsgálatát 1993-ban végezték</w:t>
      </w:r>
      <w:r w:rsidR="003E0439">
        <w:rPr>
          <w:rFonts w:ascii="Times New Roman" w:hAnsi="Times New Roman" w:cs="Times New Roman"/>
          <w:sz w:val="24"/>
          <w:szCs w:val="24"/>
        </w:rPr>
        <w:t xml:space="preserve"> el</w:t>
      </w:r>
      <w:r w:rsidR="00BD46D5" w:rsidRPr="00413518">
        <w:rPr>
          <w:rFonts w:ascii="Times New Roman" w:hAnsi="Times New Roman" w:cs="Times New Roman"/>
          <w:sz w:val="24"/>
          <w:szCs w:val="24"/>
        </w:rPr>
        <w:t>, amikor is az ipari, a mezőgazdasági, az erdészeti és a halászati szektoroknak speciális adókedvezményeket biztosítottak.</w:t>
      </w:r>
      <w:r w:rsidR="00BD46D5" w:rsidRPr="00413518">
        <w:rPr>
          <w:rStyle w:val="Lbjegyzet-hivatkozs"/>
          <w:sz w:val="24"/>
          <w:szCs w:val="24"/>
        </w:rPr>
        <w:footnoteReference w:id="93"/>
      </w:r>
      <w:r w:rsidR="007A2EE0" w:rsidRPr="00413518">
        <w:rPr>
          <w:rFonts w:ascii="Times New Roman" w:hAnsi="Times New Roman" w:cs="Times New Roman"/>
          <w:sz w:val="24"/>
          <w:szCs w:val="24"/>
        </w:rPr>
        <w:t xml:space="preserve"> A</w:t>
      </w:r>
      <w:r w:rsidR="00B20C58">
        <w:rPr>
          <w:rFonts w:ascii="Times New Roman" w:hAnsi="Times New Roman" w:cs="Times New Roman"/>
          <w:sz w:val="24"/>
          <w:szCs w:val="24"/>
        </w:rPr>
        <w:t>z</w:t>
      </w:r>
      <w:r w:rsidR="007A2EE0" w:rsidRPr="00413518">
        <w:rPr>
          <w:rFonts w:ascii="Times New Roman" w:hAnsi="Times New Roman" w:cs="Times New Roman"/>
          <w:sz w:val="24"/>
          <w:szCs w:val="24"/>
        </w:rPr>
        <w:t xml:space="preserve"> előbb felsorolt </w:t>
      </w:r>
      <w:r w:rsidR="00E84682" w:rsidRPr="00413518">
        <w:rPr>
          <w:rFonts w:ascii="Times New Roman" w:hAnsi="Times New Roman" w:cs="Times New Roman"/>
          <w:sz w:val="24"/>
          <w:szCs w:val="24"/>
        </w:rPr>
        <w:t>szektorok</w:t>
      </w:r>
      <w:r w:rsidR="007A2EE0" w:rsidRPr="00413518">
        <w:rPr>
          <w:rFonts w:ascii="Times New Roman" w:hAnsi="Times New Roman" w:cs="Times New Roman"/>
          <w:sz w:val="24"/>
          <w:szCs w:val="24"/>
        </w:rPr>
        <w:t xml:space="preserve"> jelenleg is energiaadó-mentességet élveznek</w:t>
      </w:r>
      <w:r w:rsidR="003E0439">
        <w:rPr>
          <w:rStyle w:val="Lbjegyzet-hivatkozs"/>
          <w:sz w:val="24"/>
          <w:szCs w:val="24"/>
        </w:rPr>
        <w:footnoteReference w:id="94"/>
      </w:r>
      <w:r w:rsidR="007A2EE0" w:rsidRPr="00413518">
        <w:rPr>
          <w:rFonts w:ascii="Times New Roman" w:hAnsi="Times New Roman" w:cs="Times New Roman"/>
          <w:sz w:val="24"/>
          <w:szCs w:val="24"/>
        </w:rPr>
        <w:t>, a CO</w:t>
      </w:r>
      <w:r w:rsidR="007A2EE0" w:rsidRPr="00413518">
        <w:rPr>
          <w:rFonts w:ascii="Times New Roman" w:hAnsi="Times New Roman" w:cs="Times New Roman"/>
          <w:sz w:val="24"/>
          <w:szCs w:val="24"/>
          <w:vertAlign w:val="subscript"/>
        </w:rPr>
        <w:t xml:space="preserve">2 </w:t>
      </w:r>
      <w:r w:rsidR="007A2EE0" w:rsidRPr="00413518">
        <w:rPr>
          <w:rFonts w:ascii="Times New Roman" w:hAnsi="Times New Roman" w:cs="Times New Roman"/>
          <w:sz w:val="24"/>
          <w:szCs w:val="24"/>
        </w:rPr>
        <w:t>adónak pedig csökkentett mérték</w:t>
      </w:r>
      <w:r w:rsidR="00B20C58">
        <w:rPr>
          <w:rFonts w:ascii="Times New Roman" w:hAnsi="Times New Roman" w:cs="Times New Roman"/>
          <w:sz w:val="24"/>
          <w:szCs w:val="24"/>
        </w:rPr>
        <w:t>é</w:t>
      </w:r>
      <w:r w:rsidR="007A2EE0" w:rsidRPr="00413518">
        <w:rPr>
          <w:rFonts w:ascii="Times New Roman" w:hAnsi="Times New Roman" w:cs="Times New Roman"/>
          <w:sz w:val="24"/>
          <w:szCs w:val="24"/>
        </w:rPr>
        <w:t>t kell megfizetniük.</w:t>
      </w:r>
      <w:r w:rsidR="007A2EE0" w:rsidRPr="00413518">
        <w:rPr>
          <w:rStyle w:val="Lbjegyzet-hivatkozs"/>
          <w:sz w:val="24"/>
          <w:szCs w:val="24"/>
        </w:rPr>
        <w:footnoteReference w:id="95"/>
      </w:r>
      <w:r w:rsidR="007A2EE0" w:rsidRPr="00413518">
        <w:rPr>
          <w:rFonts w:ascii="Times New Roman" w:hAnsi="Times New Roman" w:cs="Times New Roman"/>
          <w:sz w:val="24"/>
          <w:szCs w:val="24"/>
        </w:rPr>
        <w:t xml:space="preserve"> Tulajdonképpen a teljes energiaadó teher a CO</w:t>
      </w:r>
      <w:r w:rsidR="007A2EE0" w:rsidRPr="00413518">
        <w:rPr>
          <w:rFonts w:ascii="Times New Roman" w:hAnsi="Times New Roman" w:cs="Times New Roman"/>
          <w:sz w:val="24"/>
          <w:szCs w:val="24"/>
          <w:vertAlign w:val="subscript"/>
        </w:rPr>
        <w:t xml:space="preserve">2 </w:t>
      </w:r>
      <w:r w:rsidR="007A2EE0" w:rsidRPr="00413518">
        <w:rPr>
          <w:rFonts w:ascii="Times New Roman" w:hAnsi="Times New Roman" w:cs="Times New Roman"/>
          <w:sz w:val="24"/>
          <w:szCs w:val="24"/>
        </w:rPr>
        <w:t>adóból és az energiaadóból áll, amelyet a könnyű fűtőolajokra vetettek ki, az adóterhet pedig a háztartások és az üzleti szektor fizeti meg. 1990 – 1992 közötti időszakban az adóteher a háztartási és az üzleti szektor között nem volt differenciált. Azonban 1993-óta az második szektor energiaadó-mentességet élvez, és a szén-dioxid adónak</w:t>
      </w:r>
      <w:r w:rsidR="007A2EE0" w:rsidRPr="00413518">
        <w:rPr>
          <w:rStyle w:val="Lbjegyzet-hivatkozs"/>
          <w:sz w:val="24"/>
          <w:szCs w:val="24"/>
        </w:rPr>
        <w:footnoteReference w:id="96"/>
      </w:r>
      <w:r w:rsidR="007A2EE0" w:rsidRPr="00413518">
        <w:rPr>
          <w:rFonts w:ascii="Times New Roman" w:hAnsi="Times New Roman" w:cs="Times New Roman"/>
          <w:sz w:val="24"/>
          <w:szCs w:val="24"/>
        </w:rPr>
        <w:t xml:space="preserve"> is csak </w:t>
      </w:r>
      <w:r w:rsidR="00460FDE">
        <w:rPr>
          <w:rFonts w:ascii="Times New Roman" w:hAnsi="Times New Roman" w:cs="Times New Roman"/>
          <w:sz w:val="24"/>
          <w:szCs w:val="24"/>
        </w:rPr>
        <w:t>egy töredékét kell megfizetnie.</w:t>
      </w:r>
      <w:r w:rsidR="007A2EE0" w:rsidRPr="00413518">
        <w:rPr>
          <w:rFonts w:ascii="Times New Roman" w:hAnsi="Times New Roman" w:cs="Times New Roman"/>
          <w:sz w:val="24"/>
          <w:szCs w:val="24"/>
        </w:rPr>
        <w:tab/>
      </w:r>
      <w:r w:rsidR="007A2EE0" w:rsidRPr="00413518">
        <w:rPr>
          <w:rFonts w:ascii="Times New Roman" w:hAnsi="Times New Roman" w:cs="Times New Roman"/>
          <w:sz w:val="24"/>
          <w:szCs w:val="24"/>
        </w:rPr>
        <w:br/>
      </w:r>
      <w:r w:rsidR="007A2EE0" w:rsidRPr="00413518">
        <w:rPr>
          <w:rFonts w:ascii="Times New Roman" w:hAnsi="Times New Roman" w:cs="Times New Roman"/>
          <w:sz w:val="24"/>
          <w:szCs w:val="24"/>
        </w:rPr>
        <w:lastRenderedPageBreak/>
        <w:tab/>
        <w:t>A svéd adórendszer bemutatásánál feltétlenül szót kell ejteni a villamos - energiaadó és az ipar</w:t>
      </w:r>
      <w:r w:rsidR="00A53C9D" w:rsidRPr="00413518">
        <w:rPr>
          <w:rStyle w:val="Lbjegyzet-hivatkozs"/>
          <w:sz w:val="24"/>
          <w:szCs w:val="24"/>
        </w:rPr>
        <w:footnoteReference w:id="97"/>
      </w:r>
      <w:r w:rsidR="007A2EE0" w:rsidRPr="00413518">
        <w:rPr>
          <w:rFonts w:ascii="Times New Roman" w:hAnsi="Times New Roman" w:cs="Times New Roman"/>
          <w:sz w:val="24"/>
          <w:szCs w:val="24"/>
        </w:rPr>
        <w:t xml:space="preserve"> fejlődéséről.</w:t>
      </w:r>
      <w:r w:rsidR="00E84682" w:rsidRPr="00413518">
        <w:rPr>
          <w:rStyle w:val="Lbjegyzet-hivatkozs"/>
          <w:sz w:val="24"/>
          <w:szCs w:val="24"/>
        </w:rPr>
        <w:footnoteReference w:id="98"/>
      </w:r>
      <w:r w:rsidR="007A2EE0" w:rsidRPr="00413518">
        <w:rPr>
          <w:rFonts w:ascii="Times New Roman" w:hAnsi="Times New Roman" w:cs="Times New Roman"/>
          <w:sz w:val="24"/>
          <w:szCs w:val="24"/>
        </w:rPr>
        <w:t xml:space="preserve"> Az 1993-ban bevezetett ETR rendszernek</w:t>
      </w:r>
      <w:r w:rsidR="007A2EE0" w:rsidRPr="00413518">
        <w:rPr>
          <w:rStyle w:val="Lbjegyzet-hivatkozs"/>
          <w:sz w:val="24"/>
          <w:szCs w:val="24"/>
        </w:rPr>
        <w:footnoteReference w:id="99"/>
      </w:r>
      <w:r w:rsidR="007A2EE0" w:rsidRPr="00413518">
        <w:rPr>
          <w:rFonts w:ascii="Times New Roman" w:hAnsi="Times New Roman" w:cs="Times New Roman"/>
          <w:sz w:val="24"/>
          <w:szCs w:val="24"/>
        </w:rPr>
        <w:t xml:space="preserve"> köszönhetően a teljes svéd ipari </w:t>
      </w:r>
      <w:r w:rsidR="007B40D5" w:rsidRPr="00413518">
        <w:rPr>
          <w:rFonts w:ascii="Times New Roman" w:hAnsi="Times New Roman" w:cs="Times New Roman"/>
          <w:sz w:val="24"/>
          <w:szCs w:val="24"/>
        </w:rPr>
        <w:t>szektor</w:t>
      </w:r>
      <w:r w:rsidR="007A2EE0" w:rsidRPr="00413518">
        <w:rPr>
          <w:rFonts w:ascii="Times New Roman" w:hAnsi="Times New Roman" w:cs="Times New Roman"/>
          <w:sz w:val="24"/>
          <w:szCs w:val="24"/>
        </w:rPr>
        <w:t xml:space="preserve"> a villamos-energiaadó alól teljes mentességet szerzett. Ez a helyzet később csak 2004-ben változott</w:t>
      </w:r>
      <w:r w:rsidR="00E84682" w:rsidRPr="00413518">
        <w:rPr>
          <w:rStyle w:val="Lbjegyzet-hivatkozs"/>
          <w:sz w:val="24"/>
          <w:szCs w:val="24"/>
        </w:rPr>
        <w:footnoteReference w:id="100"/>
      </w:r>
      <w:r w:rsidR="007A2EE0" w:rsidRPr="00413518">
        <w:rPr>
          <w:rFonts w:ascii="Times New Roman" w:hAnsi="Times New Roman" w:cs="Times New Roman"/>
          <w:sz w:val="24"/>
          <w:szCs w:val="24"/>
        </w:rPr>
        <w:t>, amikor bevezették a csökkentett adómértéket a villamos energiára.</w:t>
      </w:r>
      <w:r w:rsidR="007A2EE0" w:rsidRPr="00413518">
        <w:rPr>
          <w:rStyle w:val="Lbjegyzet-hivatkozs"/>
          <w:sz w:val="24"/>
          <w:szCs w:val="24"/>
        </w:rPr>
        <w:footnoteReference w:id="101"/>
      </w:r>
      <w:r w:rsidR="007A2EE0" w:rsidRPr="00413518">
        <w:rPr>
          <w:rFonts w:ascii="Times New Roman" w:hAnsi="Times New Roman" w:cs="Times New Roman"/>
          <w:sz w:val="24"/>
          <w:szCs w:val="24"/>
        </w:rPr>
        <w:t xml:space="preserve"> Emellett nem szűnt meg az </w:t>
      </w:r>
      <w:r w:rsidR="007B40D5" w:rsidRPr="00413518">
        <w:rPr>
          <w:rFonts w:ascii="Times New Roman" w:hAnsi="Times New Roman" w:cs="Times New Roman"/>
          <w:sz w:val="24"/>
          <w:szCs w:val="24"/>
        </w:rPr>
        <w:t>adókedvezmény</w:t>
      </w:r>
      <w:r w:rsidR="007A2EE0" w:rsidRPr="00413518">
        <w:rPr>
          <w:rFonts w:ascii="Times New Roman" w:hAnsi="Times New Roman" w:cs="Times New Roman"/>
          <w:sz w:val="24"/>
          <w:szCs w:val="24"/>
        </w:rPr>
        <w:t xml:space="preserve"> lehetősége, hiszen azon energiaigényes iparágak, amelyek részt vesznek olyan beruházásokban, vagy folyamatokban, amelyek a villamos energia </w:t>
      </w:r>
      <w:r w:rsidR="007B40D5" w:rsidRPr="00413518">
        <w:rPr>
          <w:rFonts w:ascii="Times New Roman" w:hAnsi="Times New Roman" w:cs="Times New Roman"/>
          <w:sz w:val="24"/>
          <w:szCs w:val="24"/>
        </w:rPr>
        <w:t>hatékonyságát</w:t>
      </w:r>
      <w:r w:rsidR="007A2EE0" w:rsidRPr="00413518">
        <w:rPr>
          <w:rFonts w:ascii="Times New Roman" w:hAnsi="Times New Roman" w:cs="Times New Roman"/>
          <w:sz w:val="24"/>
          <w:szCs w:val="24"/>
        </w:rPr>
        <w:t xml:space="preserve">/tartalékolást szolgálja, akkor abban az esetben továbbra is jogosultak a teljes adómentesség igénylésére. </w:t>
      </w:r>
      <w:r w:rsidR="007A2EE0" w:rsidRPr="00413518">
        <w:rPr>
          <w:rStyle w:val="Lbjegyzet-hivatkozs"/>
          <w:sz w:val="24"/>
          <w:szCs w:val="24"/>
        </w:rPr>
        <w:footnoteReference w:id="102"/>
      </w:r>
      <w:r w:rsidR="00FB47F7">
        <w:rPr>
          <w:rFonts w:ascii="Times New Roman" w:hAnsi="Times New Roman" w:cs="Times New Roman"/>
          <w:sz w:val="24"/>
          <w:szCs w:val="24"/>
        </w:rPr>
        <w:t xml:space="preserve"> </w:t>
      </w:r>
      <w:r w:rsidR="00E84682" w:rsidRPr="00413518">
        <w:rPr>
          <w:rFonts w:ascii="Times New Roman" w:hAnsi="Times New Roman" w:cs="Times New Roman"/>
          <w:sz w:val="24"/>
          <w:szCs w:val="24"/>
        </w:rPr>
        <w:t>A villamos energia előállítása kapcsán pedig jelenleg nem áll fent adófizetési kötelezettség energiaadó, vagy szénadó címén.</w:t>
      </w:r>
      <w:r w:rsidR="003E1697" w:rsidRPr="00413518">
        <w:rPr>
          <w:rStyle w:val="Lbjegyzet-hivatkozs"/>
          <w:sz w:val="24"/>
          <w:szCs w:val="24"/>
        </w:rPr>
        <w:footnoteReference w:id="103"/>
      </w:r>
      <w:r w:rsidR="00232FC8">
        <w:rPr>
          <w:rFonts w:ascii="Times New Roman" w:hAnsi="Times New Roman" w:cs="Times New Roman"/>
          <w:sz w:val="24"/>
          <w:szCs w:val="24"/>
        </w:rPr>
        <w:t xml:space="preserve"> Magyarországon ilyen differenciált adómentességi rendszerrel nem találkozhatunk. A három mentességi eset közül a megújuló energiából előállított villamos energia adómentessége rokonítható a svéd megoldással.</w:t>
      </w:r>
      <w:r w:rsidR="00232FC8">
        <w:rPr>
          <w:rStyle w:val="Lbjegyzet-hivatkozs"/>
          <w:sz w:val="24"/>
          <w:szCs w:val="24"/>
        </w:rPr>
        <w:footnoteReference w:id="104"/>
      </w:r>
      <w:r w:rsidR="00232FC8">
        <w:rPr>
          <w:rFonts w:ascii="Times New Roman" w:hAnsi="Times New Roman" w:cs="Times New Roman"/>
          <w:sz w:val="24"/>
          <w:szCs w:val="24"/>
        </w:rPr>
        <w:tab/>
      </w:r>
      <w:r w:rsidR="007B40D5" w:rsidRPr="00413518">
        <w:rPr>
          <w:rFonts w:ascii="Times New Roman" w:hAnsi="Times New Roman" w:cs="Times New Roman"/>
          <w:sz w:val="24"/>
          <w:szCs w:val="24"/>
        </w:rPr>
        <w:br/>
      </w:r>
      <w:r w:rsidR="007B40D5" w:rsidRPr="00413518">
        <w:rPr>
          <w:rFonts w:ascii="Times New Roman" w:hAnsi="Times New Roman" w:cs="Times New Roman"/>
          <w:sz w:val="24"/>
          <w:szCs w:val="24"/>
        </w:rPr>
        <w:tab/>
        <w:t>A bőkezű adókedvezmények mellett azonban az energiaigényes iparágak a teljes eladásuk 0,8%-át egy speciális visszaigénylési rendszeren keresztül visszanyerhetik. Az 1997-es bevezetése óta ez a rendszer teljesen változatlan.</w:t>
      </w:r>
      <w:r w:rsidR="007B40D5" w:rsidRPr="00413518">
        <w:rPr>
          <w:rStyle w:val="Lbjegyzet-hivatkozs"/>
          <w:sz w:val="24"/>
          <w:szCs w:val="24"/>
        </w:rPr>
        <w:footnoteReference w:id="105"/>
      </w:r>
      <w:r w:rsidR="00232FC8">
        <w:rPr>
          <w:rFonts w:ascii="Times New Roman" w:hAnsi="Times New Roman" w:cs="Times New Roman"/>
          <w:sz w:val="24"/>
          <w:szCs w:val="24"/>
        </w:rPr>
        <w:t xml:space="preserve"> A hazai szabályozás szintén lehetővé tesz adó-visszaigénylést</w:t>
      </w:r>
      <w:r w:rsidR="00954B9C">
        <w:rPr>
          <w:rFonts w:ascii="Times New Roman" w:hAnsi="Times New Roman" w:cs="Times New Roman"/>
          <w:sz w:val="24"/>
          <w:szCs w:val="24"/>
        </w:rPr>
        <w:t>, de ezt szintén nem szektor szerint határozza meg a magyar törvény, hanem felhasználási cél szerint.</w:t>
      </w:r>
      <w:r w:rsidR="00954B9C">
        <w:rPr>
          <w:rStyle w:val="Lbjegyzet-hivatkozs"/>
          <w:sz w:val="24"/>
          <w:szCs w:val="24"/>
        </w:rPr>
        <w:footnoteReference w:id="106"/>
      </w:r>
      <w:r w:rsidR="007B40D5" w:rsidRPr="00413518">
        <w:rPr>
          <w:rFonts w:ascii="Times New Roman" w:hAnsi="Times New Roman" w:cs="Times New Roman"/>
          <w:sz w:val="24"/>
          <w:szCs w:val="24"/>
        </w:rPr>
        <w:tab/>
      </w:r>
      <w:r w:rsidR="007B40D5" w:rsidRPr="00413518">
        <w:rPr>
          <w:rFonts w:ascii="Times New Roman" w:hAnsi="Times New Roman" w:cs="Times New Roman"/>
          <w:sz w:val="24"/>
          <w:szCs w:val="24"/>
        </w:rPr>
        <w:br/>
      </w:r>
      <w:r w:rsidR="007B40D5" w:rsidRPr="00413518">
        <w:rPr>
          <w:rFonts w:ascii="Times New Roman" w:hAnsi="Times New Roman" w:cs="Times New Roman"/>
          <w:sz w:val="24"/>
          <w:szCs w:val="24"/>
        </w:rPr>
        <w:tab/>
        <w:t>Az 1991-ben bevezetett CO</w:t>
      </w:r>
      <w:r w:rsidR="007B40D5" w:rsidRPr="00413518">
        <w:rPr>
          <w:rFonts w:ascii="Times New Roman" w:hAnsi="Times New Roman" w:cs="Times New Roman"/>
          <w:sz w:val="24"/>
          <w:szCs w:val="24"/>
          <w:vertAlign w:val="subscript"/>
        </w:rPr>
        <w:t xml:space="preserve">2 </w:t>
      </w:r>
      <w:r w:rsidR="007B40D5" w:rsidRPr="00413518">
        <w:rPr>
          <w:rFonts w:ascii="Times New Roman" w:hAnsi="Times New Roman" w:cs="Times New Roman"/>
          <w:sz w:val="24"/>
          <w:szCs w:val="24"/>
        </w:rPr>
        <w:t>adó egy teljes körű adóreform része volt, amely</w:t>
      </w:r>
      <w:r w:rsidR="00D36BD1">
        <w:rPr>
          <w:rFonts w:ascii="Times New Roman" w:hAnsi="Times New Roman" w:cs="Times New Roman"/>
          <w:sz w:val="24"/>
          <w:szCs w:val="24"/>
        </w:rPr>
        <w:t xml:space="preserve"> </w:t>
      </w:r>
      <w:r w:rsidR="007B40D5" w:rsidRPr="00413518">
        <w:rPr>
          <w:rFonts w:ascii="Times New Roman" w:hAnsi="Times New Roman" w:cs="Times New Roman"/>
          <w:sz w:val="24"/>
          <w:szCs w:val="24"/>
        </w:rPr>
        <w:t>elsősorban a magas jövedelemadó mértéket kívánta meg csökkenteni.</w:t>
      </w:r>
      <w:r w:rsidR="00A53C9D" w:rsidRPr="00413518">
        <w:rPr>
          <w:rStyle w:val="Lbjegyzet-hivatkozs"/>
          <w:sz w:val="24"/>
          <w:szCs w:val="24"/>
        </w:rPr>
        <w:footnoteReference w:id="107"/>
      </w:r>
      <w:r w:rsidR="007B40D5" w:rsidRPr="00413518">
        <w:rPr>
          <w:rFonts w:ascii="Times New Roman" w:hAnsi="Times New Roman" w:cs="Times New Roman"/>
          <w:sz w:val="24"/>
          <w:szCs w:val="24"/>
        </w:rPr>
        <w:t xml:space="preserve"> A jövedelemadó csökkentése évente, körülbelül a GDP 4,6%-nak megfelelő veszteséget eredményezett, </w:t>
      </w:r>
      <w:r w:rsidR="007B40D5" w:rsidRPr="00413518">
        <w:rPr>
          <w:rFonts w:ascii="Times New Roman" w:hAnsi="Times New Roman" w:cs="Times New Roman"/>
          <w:sz w:val="24"/>
          <w:szCs w:val="24"/>
        </w:rPr>
        <w:lastRenderedPageBreak/>
        <w:t>amelyet részben ellensúlyoztak a szén-dioxid és a kén</w:t>
      </w:r>
      <w:r w:rsidR="008540A4">
        <w:rPr>
          <w:rFonts w:ascii="Times New Roman" w:hAnsi="Times New Roman" w:cs="Times New Roman"/>
          <w:sz w:val="24"/>
          <w:szCs w:val="24"/>
        </w:rPr>
        <w:t xml:space="preserve"> </w:t>
      </w:r>
      <w:r w:rsidR="007B40D5" w:rsidRPr="00413518">
        <w:rPr>
          <w:rFonts w:ascii="Times New Roman" w:hAnsi="Times New Roman" w:cs="Times New Roman"/>
          <w:sz w:val="24"/>
          <w:szCs w:val="24"/>
        </w:rPr>
        <w:t>adójából származó bevételek.</w:t>
      </w:r>
      <w:r w:rsidR="007B40D5" w:rsidRPr="00413518">
        <w:rPr>
          <w:rStyle w:val="Lbjegyzet-hivatkozs"/>
          <w:sz w:val="24"/>
          <w:szCs w:val="24"/>
        </w:rPr>
        <w:footnoteReference w:id="108"/>
      </w:r>
      <w:r w:rsidR="003E1697" w:rsidRPr="00413518">
        <w:rPr>
          <w:rFonts w:ascii="Times New Roman" w:hAnsi="Times New Roman" w:cs="Times New Roman"/>
          <w:sz w:val="24"/>
          <w:szCs w:val="24"/>
        </w:rPr>
        <w:t xml:space="preserve"> A </w:t>
      </w:r>
      <w:r w:rsidR="00A71065" w:rsidRPr="00413518">
        <w:rPr>
          <w:rFonts w:ascii="Times New Roman" w:hAnsi="Times New Roman" w:cs="Times New Roman"/>
          <w:sz w:val="24"/>
          <w:szCs w:val="24"/>
        </w:rPr>
        <w:t>kezdeti tervekben a jö</w:t>
      </w:r>
      <w:r w:rsidR="003E1697" w:rsidRPr="00413518">
        <w:rPr>
          <w:rFonts w:ascii="Times New Roman" w:hAnsi="Times New Roman" w:cs="Times New Roman"/>
          <w:sz w:val="24"/>
          <w:szCs w:val="24"/>
        </w:rPr>
        <w:t>vedelemadót fizetők számára évente 200 svéd koronáv</w:t>
      </w:r>
      <w:r w:rsidR="00A71065" w:rsidRPr="00413518">
        <w:rPr>
          <w:rFonts w:ascii="Times New Roman" w:hAnsi="Times New Roman" w:cs="Times New Roman"/>
          <w:sz w:val="24"/>
          <w:szCs w:val="24"/>
        </w:rPr>
        <w:t>al kevesebbet kellett fizetniük. A munkáltatók által fizetett TB- hozzájárulások mértékét pedig 0,12%-kal kívánták csökkenteni.</w:t>
      </w:r>
      <w:r w:rsidR="00A71065" w:rsidRPr="00413518">
        <w:rPr>
          <w:rStyle w:val="Lbjegyzet-hivatkozs"/>
          <w:sz w:val="24"/>
          <w:szCs w:val="24"/>
        </w:rPr>
        <w:footnoteReference w:id="109"/>
      </w:r>
      <w:r w:rsidR="003E1697" w:rsidRPr="00413518">
        <w:rPr>
          <w:rFonts w:ascii="Times New Roman" w:hAnsi="Times New Roman" w:cs="Times New Roman"/>
          <w:sz w:val="24"/>
          <w:szCs w:val="24"/>
        </w:rPr>
        <w:tab/>
      </w:r>
      <w:r w:rsidR="00A71065" w:rsidRPr="00413518">
        <w:rPr>
          <w:rFonts w:ascii="Times New Roman" w:hAnsi="Times New Roman" w:cs="Times New Roman"/>
          <w:sz w:val="24"/>
          <w:szCs w:val="24"/>
        </w:rPr>
        <w:br/>
      </w:r>
      <w:r w:rsidR="00A71065" w:rsidRPr="00413518">
        <w:rPr>
          <w:rFonts w:ascii="Times New Roman" w:hAnsi="Times New Roman" w:cs="Times New Roman"/>
          <w:sz w:val="24"/>
          <w:szCs w:val="24"/>
        </w:rPr>
        <w:tab/>
        <w:t xml:space="preserve">A 2004-es adórendszer felülvizsgálata kapcsán számos célt határozott meg a svéd kormány. A szénadó tekintetében 18 %-os növelést terveztek; a dízel adóját literenként 0,10 svéd koronával akarták növelni; a háztartások és az üzleti szektor számára a villamos-energiaadó mértékét 0,01 svéd koronával akarták növelni kWh-ként. A reform 2005-ben új </w:t>
      </w:r>
      <w:r w:rsidR="00986992" w:rsidRPr="00413518">
        <w:rPr>
          <w:rFonts w:ascii="Times New Roman" w:hAnsi="Times New Roman" w:cs="Times New Roman"/>
          <w:sz w:val="24"/>
          <w:szCs w:val="24"/>
        </w:rPr>
        <w:t>célkitűzésekkel</w:t>
      </w:r>
      <w:r w:rsidR="00A71065" w:rsidRPr="00413518">
        <w:rPr>
          <w:rFonts w:ascii="Times New Roman" w:hAnsi="Times New Roman" w:cs="Times New Roman"/>
          <w:sz w:val="24"/>
          <w:szCs w:val="24"/>
        </w:rPr>
        <w:t xml:space="preserve"> folytatódott, mint például: az üzemanyagadó növelése a benzin esetén 0,15 svéd korona/liter és a dízel vonatkozásában 0,30 svéd korona/liter, vagy a </w:t>
      </w:r>
      <w:r w:rsidR="00986992" w:rsidRPr="00413518">
        <w:rPr>
          <w:rFonts w:ascii="Times New Roman" w:hAnsi="Times New Roman" w:cs="Times New Roman"/>
          <w:sz w:val="24"/>
          <w:szCs w:val="24"/>
        </w:rPr>
        <w:t>háztartások</w:t>
      </w:r>
      <w:r w:rsidR="00A71065" w:rsidRPr="00413518">
        <w:rPr>
          <w:rFonts w:ascii="Times New Roman" w:hAnsi="Times New Roman" w:cs="Times New Roman"/>
          <w:sz w:val="24"/>
          <w:szCs w:val="24"/>
        </w:rPr>
        <w:t xml:space="preserve"> és az üzleti szektor vonatkozásában további villamos-energiaadó emelés. </w:t>
      </w:r>
      <w:r w:rsidR="00A71065" w:rsidRPr="00413518">
        <w:rPr>
          <w:rStyle w:val="Lbjegyzet-hivatkozs"/>
          <w:sz w:val="24"/>
          <w:szCs w:val="24"/>
        </w:rPr>
        <w:footnoteReference w:id="110"/>
      </w:r>
      <w:r w:rsidR="00A71065" w:rsidRPr="00413518">
        <w:rPr>
          <w:rFonts w:ascii="Times New Roman" w:hAnsi="Times New Roman" w:cs="Times New Roman"/>
          <w:sz w:val="24"/>
          <w:szCs w:val="24"/>
        </w:rPr>
        <w:tab/>
      </w:r>
      <w:r w:rsidR="003E1697" w:rsidRPr="00413518">
        <w:rPr>
          <w:rFonts w:ascii="Times New Roman" w:hAnsi="Times New Roman" w:cs="Times New Roman"/>
          <w:sz w:val="24"/>
          <w:szCs w:val="24"/>
        </w:rPr>
        <w:br/>
      </w:r>
      <w:r w:rsidR="003E1697" w:rsidRPr="00413518">
        <w:rPr>
          <w:rFonts w:ascii="Times New Roman" w:hAnsi="Times New Roman" w:cs="Times New Roman"/>
          <w:sz w:val="24"/>
          <w:szCs w:val="24"/>
        </w:rPr>
        <w:tab/>
        <w:t>Az ökológiai témájú adózási intézkedéseket számos támogató program kíséri. A kormányzat 1996-ban határozta el, hogy az ún. Helyi Beruházási Programok (LIP)</w:t>
      </w:r>
      <w:r w:rsidR="003E1697" w:rsidRPr="00413518">
        <w:rPr>
          <w:rStyle w:val="Lbjegyzet-hivatkozs"/>
          <w:sz w:val="24"/>
          <w:szCs w:val="24"/>
        </w:rPr>
        <w:footnoteReference w:id="111"/>
      </w:r>
      <w:r w:rsidR="003E1697" w:rsidRPr="00413518">
        <w:rPr>
          <w:rFonts w:ascii="Times New Roman" w:hAnsi="Times New Roman" w:cs="Times New Roman"/>
          <w:sz w:val="24"/>
          <w:szCs w:val="24"/>
        </w:rPr>
        <w:t xml:space="preserve"> beindítását kezdi el támogatni azért, hogy a svéd önkormány</w:t>
      </w:r>
      <w:r w:rsidR="00A5160D" w:rsidRPr="00413518">
        <w:rPr>
          <w:rFonts w:ascii="Times New Roman" w:hAnsi="Times New Roman" w:cs="Times New Roman"/>
          <w:sz w:val="24"/>
          <w:szCs w:val="24"/>
        </w:rPr>
        <w:t>zatokban kialakítsa az ökológiaila</w:t>
      </w:r>
      <w:r w:rsidR="003E1697" w:rsidRPr="00413518">
        <w:rPr>
          <w:rFonts w:ascii="Times New Roman" w:hAnsi="Times New Roman" w:cs="Times New Roman"/>
          <w:sz w:val="24"/>
          <w:szCs w:val="24"/>
        </w:rPr>
        <w:t>g fenntartható társadalmakat. 2002-ben a LIP-et a Klimp</w:t>
      </w:r>
      <w:r w:rsidR="003E1697" w:rsidRPr="00413518">
        <w:rPr>
          <w:rStyle w:val="Lbjegyzet-hivatkozs"/>
          <w:sz w:val="24"/>
          <w:szCs w:val="24"/>
        </w:rPr>
        <w:footnoteReference w:id="112"/>
      </w:r>
      <w:r w:rsidR="003E1697" w:rsidRPr="00413518">
        <w:rPr>
          <w:rFonts w:ascii="Times New Roman" w:hAnsi="Times New Roman" w:cs="Times New Roman"/>
          <w:sz w:val="24"/>
          <w:szCs w:val="24"/>
        </w:rPr>
        <w:t xml:space="preserve"> váltotta fel, amely az üvegházgázok kibocsátásának csökkentését sokkal jobban tudta kezelni, mint a LIP. Az 1998- 2003 időszakban</w:t>
      </w:r>
      <w:r w:rsidR="003E1697" w:rsidRPr="00413518">
        <w:rPr>
          <w:rStyle w:val="Lbjegyzet-hivatkozs"/>
          <w:sz w:val="24"/>
          <w:szCs w:val="24"/>
        </w:rPr>
        <w:footnoteReference w:id="113"/>
      </w:r>
      <w:r w:rsidR="003E1697" w:rsidRPr="00413518">
        <w:rPr>
          <w:rFonts w:ascii="Times New Roman" w:hAnsi="Times New Roman" w:cs="Times New Roman"/>
          <w:sz w:val="24"/>
          <w:szCs w:val="24"/>
        </w:rPr>
        <w:t xml:space="preserve"> a támogatások elérték a 650 millió eurót.</w:t>
      </w:r>
      <w:r w:rsidR="003E1697" w:rsidRPr="00413518">
        <w:rPr>
          <w:rStyle w:val="Lbjegyzet-hivatkozs"/>
          <w:sz w:val="24"/>
          <w:szCs w:val="24"/>
        </w:rPr>
        <w:footnoteReference w:id="114"/>
      </w:r>
      <w:r w:rsidR="003B033F" w:rsidRPr="00413518">
        <w:rPr>
          <w:rFonts w:ascii="Times New Roman" w:hAnsi="Times New Roman" w:cs="Times New Roman"/>
          <w:sz w:val="24"/>
          <w:szCs w:val="24"/>
        </w:rPr>
        <w:tab/>
      </w:r>
      <w:r w:rsidR="003B033F" w:rsidRPr="00413518">
        <w:rPr>
          <w:rFonts w:ascii="Times New Roman" w:hAnsi="Times New Roman" w:cs="Times New Roman"/>
          <w:sz w:val="24"/>
          <w:szCs w:val="24"/>
        </w:rPr>
        <w:br/>
      </w:r>
      <w:r w:rsidR="003B033F" w:rsidRPr="00413518">
        <w:rPr>
          <w:rFonts w:ascii="Times New Roman" w:hAnsi="Times New Roman" w:cs="Times New Roman"/>
          <w:sz w:val="24"/>
          <w:szCs w:val="24"/>
        </w:rPr>
        <w:tab/>
      </w:r>
      <w:r w:rsidR="001268EF" w:rsidRPr="00413518">
        <w:rPr>
          <w:rFonts w:ascii="Times New Roman" w:hAnsi="Times New Roman" w:cs="Times New Roman"/>
          <w:sz w:val="24"/>
          <w:szCs w:val="24"/>
        </w:rPr>
        <w:t>A Svéd Környezetvédelmi Ügynökség (SEPA) 1997-ben arra a következtetésre jutott, hogy a svéd környezetvédelmi szakpolitika keretében a szén-dioxidadó alkalmas eszköz volt arra, hogy jelentősen csökkentsé</w:t>
      </w:r>
      <w:r w:rsidR="00954B9C">
        <w:rPr>
          <w:rFonts w:ascii="Times New Roman" w:hAnsi="Times New Roman" w:cs="Times New Roman"/>
          <w:sz w:val="24"/>
          <w:szCs w:val="24"/>
        </w:rPr>
        <w:t>k</w:t>
      </w:r>
      <w:r w:rsidR="001268EF" w:rsidRPr="00413518">
        <w:rPr>
          <w:rFonts w:ascii="Times New Roman" w:hAnsi="Times New Roman" w:cs="Times New Roman"/>
          <w:sz w:val="24"/>
          <w:szCs w:val="24"/>
        </w:rPr>
        <w:t xml:space="preserve"> a CO</w:t>
      </w:r>
      <w:r w:rsidR="001268EF" w:rsidRPr="00413518">
        <w:rPr>
          <w:rFonts w:ascii="Times New Roman" w:hAnsi="Times New Roman" w:cs="Times New Roman"/>
          <w:sz w:val="24"/>
          <w:szCs w:val="24"/>
          <w:vertAlign w:val="subscript"/>
        </w:rPr>
        <w:t xml:space="preserve">2 </w:t>
      </w:r>
      <w:r w:rsidR="001268EF" w:rsidRPr="00413518">
        <w:rPr>
          <w:rFonts w:ascii="Times New Roman" w:hAnsi="Times New Roman" w:cs="Times New Roman"/>
          <w:sz w:val="24"/>
          <w:szCs w:val="24"/>
        </w:rPr>
        <w:t>kibocsátást.</w:t>
      </w:r>
      <w:r w:rsidR="001268EF" w:rsidRPr="00413518">
        <w:rPr>
          <w:rStyle w:val="Lbjegyzet-hivatkozs"/>
          <w:sz w:val="24"/>
          <w:szCs w:val="24"/>
        </w:rPr>
        <w:footnoteReference w:id="115"/>
      </w:r>
      <w:r w:rsidR="001268EF" w:rsidRPr="00413518">
        <w:rPr>
          <w:rFonts w:ascii="Times New Roman" w:hAnsi="Times New Roman" w:cs="Times New Roman"/>
          <w:sz w:val="24"/>
          <w:szCs w:val="24"/>
        </w:rPr>
        <w:t xml:space="preserve"> A 2000-es években megállapították, hogy 20-25%-kal kevesebb volt a CO</w:t>
      </w:r>
      <w:r w:rsidR="001268EF" w:rsidRPr="00413518">
        <w:rPr>
          <w:rFonts w:ascii="Times New Roman" w:hAnsi="Times New Roman" w:cs="Times New Roman"/>
          <w:sz w:val="24"/>
          <w:szCs w:val="24"/>
          <w:vertAlign w:val="subscript"/>
        </w:rPr>
        <w:t xml:space="preserve">2 </w:t>
      </w:r>
      <w:r w:rsidR="001268EF" w:rsidRPr="00413518">
        <w:rPr>
          <w:rFonts w:ascii="Times New Roman" w:hAnsi="Times New Roman" w:cs="Times New Roman"/>
          <w:sz w:val="24"/>
          <w:szCs w:val="24"/>
        </w:rPr>
        <w:t xml:space="preserve">kibocsátás az új adórendszernek köszönhetően, mintha nem vezettek volna be semmit és maradnak az 1990-es évek elején kidolgozott struktúránál. A SEPA tag Bengt Johansson szerint a káros anyag kibocsátás visszaesésének majdnem 90%-a az új, már felülvizsgált adórendszernek, a maradék 10% pedig a beruházási támogatásoknak és az energiahatékonyságról szóló </w:t>
      </w:r>
      <w:r w:rsidR="00A53C9D" w:rsidRPr="00413518">
        <w:rPr>
          <w:rFonts w:ascii="Times New Roman" w:hAnsi="Times New Roman" w:cs="Times New Roman"/>
          <w:sz w:val="24"/>
          <w:szCs w:val="24"/>
        </w:rPr>
        <w:t>hivatalos programoknak köszönhető.</w:t>
      </w:r>
      <w:r w:rsidR="00A53C9D" w:rsidRPr="00413518">
        <w:rPr>
          <w:rStyle w:val="Lbjegyzet-hivatkozs"/>
          <w:sz w:val="24"/>
          <w:szCs w:val="24"/>
        </w:rPr>
        <w:footnoteReference w:id="116"/>
      </w:r>
      <w:r w:rsidR="00CB0E0C" w:rsidRPr="00413518">
        <w:rPr>
          <w:rFonts w:ascii="Times New Roman" w:hAnsi="Times New Roman" w:cs="Times New Roman"/>
          <w:sz w:val="24"/>
          <w:szCs w:val="24"/>
        </w:rPr>
        <w:tab/>
      </w:r>
    </w:p>
    <w:p w:rsidR="00954B9C" w:rsidRPr="00BF1E2F" w:rsidRDefault="00954B9C" w:rsidP="0069191A">
      <w:pPr>
        <w:spacing w:line="360" w:lineRule="auto"/>
        <w:jc w:val="both"/>
        <w:rPr>
          <w:rFonts w:ascii="Times New Roman" w:hAnsi="Times New Roman" w:cs="Times New Roman"/>
          <w:sz w:val="24"/>
          <w:szCs w:val="24"/>
        </w:rPr>
      </w:pPr>
    </w:p>
    <w:p w:rsidR="00BC2DD3" w:rsidRPr="00413518" w:rsidRDefault="00BA0582" w:rsidP="0069191A">
      <w:pPr>
        <w:pStyle w:val="Cmsor2"/>
        <w:numPr>
          <w:ilvl w:val="0"/>
          <w:numId w:val="4"/>
        </w:numPr>
        <w:spacing w:line="360" w:lineRule="auto"/>
        <w:ind w:left="426" w:hanging="426"/>
        <w:rPr>
          <w:rFonts w:ascii="Times New Roman" w:hAnsi="Times New Roman" w:cs="Times New Roman"/>
        </w:rPr>
      </w:pPr>
      <w:bookmarkStart w:id="8" w:name="_Toc340927914"/>
      <w:r>
        <w:rPr>
          <w:rFonts w:ascii="Times New Roman" w:hAnsi="Times New Roman" w:cs="Times New Roman"/>
        </w:rPr>
        <w:lastRenderedPageBreak/>
        <w:t xml:space="preserve">2. </w:t>
      </w:r>
      <w:r w:rsidR="00BF1E2F">
        <w:rPr>
          <w:rFonts w:ascii="Times New Roman" w:hAnsi="Times New Roman" w:cs="Times New Roman"/>
        </w:rPr>
        <w:t>A német szabályozás</w:t>
      </w:r>
      <w:bookmarkEnd w:id="8"/>
      <w:r w:rsidR="00CB0E0C" w:rsidRPr="00413518">
        <w:rPr>
          <w:rFonts w:ascii="Times New Roman" w:hAnsi="Times New Roman" w:cs="Times New Roman"/>
        </w:rPr>
        <w:tab/>
      </w:r>
      <w:r w:rsidR="00254408">
        <w:rPr>
          <w:rFonts w:ascii="Times New Roman" w:hAnsi="Times New Roman" w:cs="Times New Roman"/>
        </w:rPr>
        <w:br/>
      </w:r>
    </w:p>
    <w:p w:rsidR="00254408" w:rsidRDefault="002A5FB5" w:rsidP="00254408">
      <w:pPr>
        <w:spacing w:line="360" w:lineRule="auto"/>
        <w:jc w:val="both"/>
        <w:rPr>
          <w:rFonts w:ascii="Times New Roman" w:hAnsi="Times New Roman" w:cs="Times New Roman"/>
          <w:sz w:val="24"/>
          <w:szCs w:val="24"/>
        </w:rPr>
      </w:pPr>
      <w:r>
        <w:rPr>
          <w:rStyle w:val="Kiemels"/>
          <w:rFonts w:ascii="Times New Roman" w:hAnsi="Times New Roman" w:cs="Times New Roman"/>
        </w:rPr>
        <w:t>3</w:t>
      </w:r>
      <w:r w:rsidR="00254408" w:rsidRPr="00413518">
        <w:rPr>
          <w:rStyle w:val="Kiemels"/>
          <w:rFonts w:ascii="Times New Roman" w:hAnsi="Times New Roman" w:cs="Times New Roman"/>
        </w:rPr>
        <w:t>.Ábra: A német környez</w:t>
      </w:r>
      <w:r w:rsidR="00254408">
        <w:rPr>
          <w:rStyle w:val="Kiemels"/>
          <w:rFonts w:ascii="Times New Roman" w:hAnsi="Times New Roman" w:cs="Times New Roman"/>
        </w:rPr>
        <w:t>etvédelmi adórendszer:</w:t>
      </w:r>
      <w:r w:rsidR="00471D60" w:rsidRPr="00413518">
        <w:rPr>
          <w:rFonts w:ascii="Times New Roman" w:hAnsi="Times New Roman" w:cs="Times New Roman"/>
          <w:sz w:val="24"/>
          <w:szCs w:val="24"/>
        </w:rPr>
        <w:tab/>
      </w:r>
      <w:r w:rsidR="00254408">
        <w:rPr>
          <w:rFonts w:ascii="Times New Roman" w:hAnsi="Times New Roman" w:cs="Times New Roman"/>
          <w:sz w:val="24"/>
          <w:szCs w:val="24"/>
        </w:rPr>
        <w:br/>
      </w:r>
      <w:r w:rsidR="00254408" w:rsidRPr="00413518">
        <w:rPr>
          <w:rFonts w:ascii="Times New Roman" w:hAnsi="Times New Roman" w:cs="Times New Roman"/>
          <w:noProof/>
        </w:rPr>
        <w:drawing>
          <wp:inline distT="0" distB="0" distL="0" distR="0">
            <wp:extent cx="5760720" cy="3199342"/>
            <wp:effectExtent l="0" t="57150" r="0" b="115570"/>
            <wp:docPr id="13"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254408" w:rsidRDefault="00254408" w:rsidP="00254408">
      <w:pPr>
        <w:spacing w:line="360" w:lineRule="auto"/>
        <w:ind w:firstLine="708"/>
        <w:jc w:val="both"/>
        <w:rPr>
          <w:rFonts w:ascii="Times New Roman" w:hAnsi="Times New Roman" w:cs="Times New Roman"/>
          <w:sz w:val="24"/>
          <w:szCs w:val="24"/>
        </w:rPr>
      </w:pP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t xml:space="preserve">Forrás: </w:t>
      </w:r>
      <w:r>
        <w:rPr>
          <w:rFonts w:ascii="Times New Roman" w:hAnsi="Times New Roman" w:cs="Times New Roman"/>
          <w:sz w:val="24"/>
          <w:szCs w:val="24"/>
        </w:rPr>
        <w:t>saját szerkesztés</w:t>
      </w:r>
      <w:r>
        <w:rPr>
          <w:rFonts w:ascii="Times New Roman" w:hAnsi="Times New Roman" w:cs="Times New Roman"/>
          <w:sz w:val="24"/>
          <w:szCs w:val="24"/>
        </w:rPr>
        <w:tab/>
      </w:r>
      <w:r>
        <w:rPr>
          <w:rFonts w:ascii="Times New Roman" w:hAnsi="Times New Roman" w:cs="Times New Roman"/>
          <w:sz w:val="24"/>
          <w:szCs w:val="24"/>
        </w:rPr>
        <w:br/>
      </w:r>
      <w:r>
        <w:rPr>
          <w:rFonts w:ascii="Times New Roman" w:hAnsi="Times New Roman" w:cs="Times New Roman"/>
          <w:sz w:val="24"/>
          <w:szCs w:val="24"/>
        </w:rPr>
        <w:tab/>
      </w:r>
      <w:r w:rsidR="00F55DDD" w:rsidRPr="00413518">
        <w:rPr>
          <w:rFonts w:ascii="Times New Roman" w:hAnsi="Times New Roman" w:cs="Times New Roman"/>
          <w:sz w:val="24"/>
          <w:szCs w:val="24"/>
        </w:rPr>
        <w:t xml:space="preserve">Az 1980-as években az Európai Unió keretén belül Németország mutatkozott a legaktívabbnak a környezetvédelmi politika területén. </w:t>
      </w:r>
      <w:r w:rsidR="00F55DDD" w:rsidRPr="00413518">
        <w:rPr>
          <w:rStyle w:val="Lbjegyzet-hivatkozs"/>
          <w:sz w:val="24"/>
          <w:szCs w:val="24"/>
        </w:rPr>
        <w:footnoteReference w:id="117"/>
      </w:r>
      <w:r w:rsidR="00F55DDD" w:rsidRPr="00413518">
        <w:rPr>
          <w:rFonts w:ascii="Times New Roman" w:hAnsi="Times New Roman" w:cs="Times New Roman"/>
          <w:sz w:val="24"/>
          <w:szCs w:val="24"/>
        </w:rPr>
        <w:t xml:space="preserve"> A </w:t>
      </w:r>
      <w:r w:rsidR="00471D60" w:rsidRPr="00413518">
        <w:rPr>
          <w:rFonts w:ascii="Times New Roman" w:hAnsi="Times New Roman" w:cs="Times New Roman"/>
          <w:sz w:val="24"/>
          <w:szCs w:val="24"/>
        </w:rPr>
        <w:t>német</w:t>
      </w:r>
      <w:r w:rsidR="00F55DDD" w:rsidRPr="00413518">
        <w:rPr>
          <w:rFonts w:ascii="Times New Roman" w:hAnsi="Times New Roman" w:cs="Times New Roman"/>
          <w:sz w:val="24"/>
          <w:szCs w:val="24"/>
        </w:rPr>
        <w:t xml:space="preserve">ek mindig is elől jártak a kérdéskörben, így az </w:t>
      </w:r>
      <w:r w:rsidR="00471D60" w:rsidRPr="00413518">
        <w:rPr>
          <w:rFonts w:ascii="Times New Roman" w:hAnsi="Times New Roman" w:cs="Times New Roman"/>
          <w:sz w:val="24"/>
          <w:szCs w:val="24"/>
        </w:rPr>
        <w:t xml:space="preserve">energiaadó-rendszer nem új keletű, hiszen egészen 1950-től </w:t>
      </w:r>
      <w:r w:rsidR="00471D60" w:rsidRPr="00413518">
        <w:rPr>
          <w:rFonts w:ascii="Times New Roman" w:hAnsi="Times New Roman" w:cs="Times New Roman"/>
          <w:i/>
          <w:sz w:val="24"/>
          <w:szCs w:val="24"/>
        </w:rPr>
        <w:t>az ásványi olajok</w:t>
      </w:r>
      <w:r w:rsidR="00471D60" w:rsidRPr="00413518">
        <w:rPr>
          <w:rFonts w:ascii="Times New Roman" w:hAnsi="Times New Roman" w:cs="Times New Roman"/>
          <w:sz w:val="24"/>
          <w:szCs w:val="24"/>
        </w:rPr>
        <w:t xml:space="preserve"> fogyasztás</w:t>
      </w:r>
      <w:r w:rsidR="002351C9">
        <w:rPr>
          <w:rFonts w:ascii="Times New Roman" w:hAnsi="Times New Roman" w:cs="Times New Roman"/>
          <w:sz w:val="24"/>
          <w:szCs w:val="24"/>
        </w:rPr>
        <w:t>a adókötelezettséget</w:t>
      </w:r>
      <w:r w:rsidR="00807BCC" w:rsidRPr="00413518">
        <w:rPr>
          <w:rFonts w:ascii="Times New Roman" w:hAnsi="Times New Roman" w:cs="Times New Roman"/>
          <w:sz w:val="24"/>
          <w:szCs w:val="24"/>
        </w:rPr>
        <w:t xml:space="preserve"> von maga után, különösen a közlekedés területén használatos üzemanyagok. Az energiaadók </w:t>
      </w:r>
      <w:r w:rsidR="00607405">
        <w:rPr>
          <w:rFonts w:ascii="Times New Roman" w:hAnsi="Times New Roman" w:cs="Times New Roman"/>
          <w:sz w:val="24"/>
          <w:szCs w:val="24"/>
        </w:rPr>
        <w:t xml:space="preserve">tárgyi </w:t>
      </w:r>
      <w:r w:rsidR="00807BCC" w:rsidRPr="00413518">
        <w:rPr>
          <w:rFonts w:ascii="Times New Roman" w:hAnsi="Times New Roman" w:cs="Times New Roman"/>
          <w:sz w:val="24"/>
          <w:szCs w:val="24"/>
        </w:rPr>
        <w:t xml:space="preserve">hatálya legközelebb 1989-ben bővült, a </w:t>
      </w:r>
      <w:r w:rsidR="00807BCC" w:rsidRPr="00413518">
        <w:rPr>
          <w:rFonts w:ascii="Times New Roman" w:hAnsi="Times New Roman" w:cs="Times New Roman"/>
          <w:i/>
          <w:sz w:val="24"/>
          <w:szCs w:val="24"/>
        </w:rPr>
        <w:t>földgáz</w:t>
      </w:r>
      <w:r w:rsidR="00807BCC" w:rsidRPr="00413518">
        <w:rPr>
          <w:rFonts w:ascii="Times New Roman" w:hAnsi="Times New Roman" w:cs="Times New Roman"/>
          <w:sz w:val="24"/>
          <w:szCs w:val="24"/>
        </w:rPr>
        <w:t xml:space="preserve"> adójának a bevezetésével.</w:t>
      </w:r>
      <w:r w:rsidR="00807BCC" w:rsidRPr="00413518">
        <w:rPr>
          <w:rStyle w:val="Lbjegyzet-hivatkozs"/>
          <w:sz w:val="24"/>
          <w:szCs w:val="24"/>
        </w:rPr>
        <w:footnoteReference w:id="118"/>
      </w:r>
      <w:r w:rsidR="00807BCC" w:rsidRPr="00413518">
        <w:rPr>
          <w:rFonts w:ascii="Times New Roman" w:hAnsi="Times New Roman" w:cs="Times New Roman"/>
          <w:sz w:val="24"/>
          <w:szCs w:val="24"/>
        </w:rPr>
        <w:t xml:space="preserve">  Azonban érdekes, hogy 2007-ig nem is beszélhet</w:t>
      </w:r>
      <w:r w:rsidR="00607405">
        <w:rPr>
          <w:rFonts w:ascii="Times New Roman" w:hAnsi="Times New Roman" w:cs="Times New Roman"/>
          <w:sz w:val="24"/>
          <w:szCs w:val="24"/>
        </w:rPr>
        <w:t xml:space="preserve">ünk </w:t>
      </w:r>
      <w:r w:rsidR="00807BCC" w:rsidRPr="00413518">
        <w:rPr>
          <w:rFonts w:ascii="Times New Roman" w:hAnsi="Times New Roman" w:cs="Times New Roman"/>
          <w:i/>
          <w:sz w:val="24"/>
          <w:szCs w:val="24"/>
        </w:rPr>
        <w:t>szénadóról</w:t>
      </w:r>
      <w:r w:rsidR="00807BCC" w:rsidRPr="00413518">
        <w:rPr>
          <w:rFonts w:ascii="Times New Roman" w:hAnsi="Times New Roman" w:cs="Times New Roman"/>
          <w:sz w:val="24"/>
          <w:szCs w:val="24"/>
        </w:rPr>
        <w:t xml:space="preserve">. Ez tulajdonképpen </w:t>
      </w:r>
      <w:r w:rsidR="00607405">
        <w:rPr>
          <w:rFonts w:ascii="Times New Roman" w:hAnsi="Times New Roman" w:cs="Times New Roman"/>
          <w:sz w:val="24"/>
          <w:szCs w:val="24"/>
        </w:rPr>
        <w:t xml:space="preserve">az </w:t>
      </w:r>
      <w:r w:rsidR="00807BCC" w:rsidRPr="00413518">
        <w:rPr>
          <w:rFonts w:ascii="Times New Roman" w:hAnsi="Times New Roman" w:cs="Times New Roman"/>
          <w:sz w:val="24"/>
          <w:szCs w:val="24"/>
        </w:rPr>
        <w:t xml:space="preserve">1995-ös </w:t>
      </w:r>
      <w:r w:rsidR="00807BCC" w:rsidRPr="00413518">
        <w:rPr>
          <w:rFonts w:ascii="Times New Roman" w:hAnsi="Times New Roman" w:cs="Times New Roman"/>
          <w:i/>
          <w:sz w:val="24"/>
          <w:szCs w:val="24"/>
        </w:rPr>
        <w:t>villamos-energiaadó</w:t>
      </w:r>
      <w:r w:rsidR="00807BCC" w:rsidRPr="00413518">
        <w:rPr>
          <w:rFonts w:ascii="Times New Roman" w:hAnsi="Times New Roman" w:cs="Times New Roman"/>
          <w:sz w:val="24"/>
          <w:szCs w:val="24"/>
        </w:rPr>
        <w:t xml:space="preserve"> rendszer eltörlésének köszönhető, a német szénipart pedig erősen támogatták ebben az időszakban.</w:t>
      </w:r>
      <w:r w:rsidR="00807BCC" w:rsidRPr="00413518">
        <w:rPr>
          <w:rStyle w:val="Lbjegyzet-hivatkozs"/>
          <w:sz w:val="24"/>
          <w:szCs w:val="24"/>
        </w:rPr>
        <w:footnoteReference w:id="119"/>
      </w:r>
      <w:r w:rsidR="00016431" w:rsidRPr="00413518">
        <w:rPr>
          <w:rFonts w:ascii="Times New Roman" w:hAnsi="Times New Roman" w:cs="Times New Roman"/>
          <w:sz w:val="24"/>
          <w:szCs w:val="24"/>
        </w:rPr>
        <w:t xml:space="preserve"> </w:t>
      </w:r>
      <w:r w:rsidR="00607405">
        <w:rPr>
          <w:rFonts w:ascii="Times New Roman" w:hAnsi="Times New Roman" w:cs="Times New Roman"/>
          <w:sz w:val="24"/>
          <w:szCs w:val="24"/>
        </w:rPr>
        <w:t xml:space="preserve">Ez a </w:t>
      </w:r>
      <w:r w:rsidR="00807BCC" w:rsidRPr="00413518">
        <w:rPr>
          <w:rFonts w:ascii="Times New Roman" w:hAnsi="Times New Roman" w:cs="Times New Roman"/>
          <w:sz w:val="24"/>
          <w:szCs w:val="24"/>
        </w:rPr>
        <w:t>rendszer értékarányos volt, és különbséget tett a háztartások és az ipar adóztatásában.</w:t>
      </w:r>
      <w:r w:rsidR="00807BCC" w:rsidRPr="00413518">
        <w:rPr>
          <w:rStyle w:val="Lbjegyzet-hivatkozs"/>
          <w:sz w:val="24"/>
          <w:szCs w:val="24"/>
        </w:rPr>
        <w:footnoteReference w:id="120"/>
      </w:r>
      <w:r w:rsidR="00807BCC" w:rsidRPr="00413518">
        <w:rPr>
          <w:rFonts w:ascii="Times New Roman" w:hAnsi="Times New Roman" w:cs="Times New Roman"/>
          <w:sz w:val="24"/>
          <w:szCs w:val="24"/>
        </w:rPr>
        <w:t xml:space="preserve"> </w:t>
      </w:r>
      <w:r w:rsidR="00F71F22" w:rsidRPr="00413518">
        <w:rPr>
          <w:rFonts w:ascii="Times New Roman" w:hAnsi="Times New Roman" w:cs="Times New Roman"/>
          <w:sz w:val="24"/>
          <w:szCs w:val="24"/>
        </w:rPr>
        <w:t xml:space="preserve"> </w:t>
      </w:r>
      <w:r w:rsidR="00930910" w:rsidRPr="00413518">
        <w:rPr>
          <w:rFonts w:ascii="Times New Roman" w:hAnsi="Times New Roman" w:cs="Times New Roman"/>
          <w:sz w:val="24"/>
          <w:szCs w:val="24"/>
        </w:rPr>
        <w:t xml:space="preserve">Azonban Németország egy iparosodott és sűrűn lakott ország, a Kyoto kiegészítő jegyzőkönyv elfogadása óta folyamatosan meg kell felelnie a kötelezettségvállalásoknak, így a </w:t>
      </w:r>
      <w:r w:rsidR="00930910" w:rsidRPr="00413518">
        <w:rPr>
          <w:rFonts w:ascii="Times New Roman" w:hAnsi="Times New Roman" w:cs="Times New Roman"/>
          <w:i/>
          <w:sz w:val="24"/>
          <w:szCs w:val="24"/>
        </w:rPr>
        <w:t>CO</w:t>
      </w:r>
      <w:r w:rsidR="00930910" w:rsidRPr="00413518">
        <w:rPr>
          <w:rFonts w:ascii="Times New Roman" w:hAnsi="Times New Roman" w:cs="Times New Roman"/>
          <w:i/>
          <w:sz w:val="24"/>
          <w:szCs w:val="24"/>
          <w:vertAlign w:val="subscript"/>
        </w:rPr>
        <w:t xml:space="preserve">2 </w:t>
      </w:r>
      <w:r w:rsidR="00930910" w:rsidRPr="00413518">
        <w:rPr>
          <w:rFonts w:ascii="Times New Roman" w:hAnsi="Times New Roman" w:cs="Times New Roman"/>
          <w:i/>
          <w:sz w:val="24"/>
          <w:szCs w:val="24"/>
        </w:rPr>
        <w:t>adóra</w:t>
      </w:r>
      <w:r w:rsidR="00930910" w:rsidRPr="00413518">
        <w:rPr>
          <w:rFonts w:ascii="Times New Roman" w:hAnsi="Times New Roman" w:cs="Times New Roman"/>
          <w:sz w:val="24"/>
          <w:szCs w:val="24"/>
        </w:rPr>
        <w:t xml:space="preserve"> nagy hangsúlyt fektet</w:t>
      </w:r>
      <w:r w:rsidR="00607405">
        <w:rPr>
          <w:rFonts w:ascii="Times New Roman" w:hAnsi="Times New Roman" w:cs="Times New Roman"/>
          <w:sz w:val="24"/>
          <w:szCs w:val="24"/>
        </w:rPr>
        <w:t>n</w:t>
      </w:r>
      <w:r w:rsidR="00930910" w:rsidRPr="00413518">
        <w:rPr>
          <w:rFonts w:ascii="Times New Roman" w:hAnsi="Times New Roman" w:cs="Times New Roman"/>
          <w:sz w:val="24"/>
          <w:szCs w:val="24"/>
        </w:rPr>
        <w:t>ek</w:t>
      </w:r>
      <w:r w:rsidR="001D1861" w:rsidRPr="00413518">
        <w:rPr>
          <w:rStyle w:val="Lbjegyzet-hivatkozs"/>
          <w:sz w:val="24"/>
          <w:szCs w:val="24"/>
        </w:rPr>
        <w:footnoteReference w:id="121"/>
      </w:r>
      <w:r w:rsidR="00930910" w:rsidRPr="00413518">
        <w:rPr>
          <w:rFonts w:ascii="Times New Roman" w:hAnsi="Times New Roman" w:cs="Times New Roman"/>
          <w:sz w:val="24"/>
          <w:szCs w:val="24"/>
        </w:rPr>
        <w:t>.</w:t>
      </w:r>
      <w:r w:rsidR="00607405">
        <w:rPr>
          <w:rFonts w:ascii="Times New Roman" w:hAnsi="Times New Roman" w:cs="Times New Roman"/>
          <w:sz w:val="24"/>
          <w:szCs w:val="24"/>
        </w:rPr>
        <w:t xml:space="preserve"> </w:t>
      </w:r>
      <w:r w:rsidR="00F71F22" w:rsidRPr="00413518">
        <w:rPr>
          <w:rFonts w:ascii="Times New Roman" w:hAnsi="Times New Roman" w:cs="Times New Roman"/>
          <w:sz w:val="24"/>
          <w:szCs w:val="24"/>
        </w:rPr>
        <w:t xml:space="preserve">1997 tavaszán, az Európai Tanács Környezetvédelmi </w:t>
      </w:r>
      <w:r w:rsidR="00F71F22" w:rsidRPr="00413518">
        <w:rPr>
          <w:rFonts w:ascii="Times New Roman" w:hAnsi="Times New Roman" w:cs="Times New Roman"/>
          <w:sz w:val="24"/>
          <w:szCs w:val="24"/>
        </w:rPr>
        <w:lastRenderedPageBreak/>
        <w:t xml:space="preserve">Minisztereinek csúcstalálkozóján a németek </w:t>
      </w:r>
      <w:r w:rsidR="00607405">
        <w:rPr>
          <w:rFonts w:ascii="Times New Roman" w:hAnsi="Times New Roman" w:cs="Times New Roman"/>
          <w:sz w:val="24"/>
          <w:szCs w:val="24"/>
        </w:rPr>
        <w:t>arra</w:t>
      </w:r>
      <w:r w:rsidR="00F71F22" w:rsidRPr="00413518">
        <w:rPr>
          <w:rFonts w:ascii="Times New Roman" w:hAnsi="Times New Roman" w:cs="Times New Roman"/>
          <w:sz w:val="24"/>
          <w:szCs w:val="24"/>
        </w:rPr>
        <w:t xml:space="preserve"> a meglepően határozott lépésre szánták el magukat, hogy 1990 és 2010 között 25%-kal csökkentik az üvegházhatású gázok</w:t>
      </w:r>
      <w:r w:rsidR="00F71F22" w:rsidRPr="00413518">
        <w:rPr>
          <w:rStyle w:val="Lbjegyzet-hivatkozs"/>
          <w:sz w:val="24"/>
          <w:szCs w:val="24"/>
        </w:rPr>
        <w:footnoteReference w:id="122"/>
      </w:r>
      <w:r w:rsidR="00F71F22" w:rsidRPr="00413518">
        <w:rPr>
          <w:rFonts w:ascii="Times New Roman" w:hAnsi="Times New Roman" w:cs="Times New Roman"/>
          <w:sz w:val="24"/>
          <w:szCs w:val="24"/>
        </w:rPr>
        <w:t xml:space="preserve"> kibocsátását</w:t>
      </w:r>
      <w:r w:rsidR="00F71F22" w:rsidRPr="00413518">
        <w:rPr>
          <w:rStyle w:val="Lbjegyzet-hivatkozs"/>
          <w:sz w:val="24"/>
          <w:szCs w:val="24"/>
        </w:rPr>
        <w:footnoteReference w:id="123"/>
      </w:r>
      <w:r w:rsidR="00D82DF6" w:rsidRPr="00413518">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br/>
      </w:r>
      <w:r>
        <w:rPr>
          <w:rFonts w:ascii="Times New Roman" w:hAnsi="Times New Roman" w:cs="Times New Roman"/>
          <w:sz w:val="24"/>
          <w:szCs w:val="24"/>
        </w:rPr>
        <w:tab/>
      </w:r>
      <w:r w:rsidR="00807BCC" w:rsidRPr="00413518">
        <w:rPr>
          <w:rFonts w:ascii="Times New Roman" w:hAnsi="Times New Roman" w:cs="Times New Roman"/>
          <w:sz w:val="24"/>
          <w:szCs w:val="24"/>
        </w:rPr>
        <w:t>1999 és 2003 között az ETR-nek köszönhetően a német energiaadó-rendszer</w:t>
      </w:r>
      <w:r w:rsidR="00607405">
        <w:rPr>
          <w:rStyle w:val="Lbjegyzet-hivatkozs"/>
          <w:sz w:val="24"/>
          <w:szCs w:val="24"/>
        </w:rPr>
        <w:footnoteReference w:id="124"/>
      </w:r>
      <w:r w:rsidR="00807BCC" w:rsidRPr="00413518">
        <w:rPr>
          <w:rFonts w:ascii="Times New Roman" w:hAnsi="Times New Roman" w:cs="Times New Roman"/>
          <w:sz w:val="24"/>
          <w:szCs w:val="24"/>
        </w:rPr>
        <w:t xml:space="preserve"> számos változáson ment keresztül. </w:t>
      </w:r>
      <w:r w:rsidR="00807BCC" w:rsidRPr="00413518">
        <w:rPr>
          <w:rStyle w:val="Lbjegyzet-hivatkozs"/>
          <w:sz w:val="24"/>
          <w:szCs w:val="24"/>
        </w:rPr>
        <w:footnoteReference w:id="125"/>
      </w:r>
      <w:r w:rsidR="00807BCC" w:rsidRPr="00413518">
        <w:rPr>
          <w:rFonts w:ascii="Times New Roman" w:hAnsi="Times New Roman" w:cs="Times New Roman"/>
          <w:sz w:val="24"/>
          <w:szCs w:val="24"/>
        </w:rPr>
        <w:t>Ennek megfelelően a közlekedési üzemanyagok adója, így különösen a dízel és a benzin adója folyamatosan növekedett és elérte a 154 euró/1</w:t>
      </w:r>
      <w:r w:rsidR="00DB3782" w:rsidRPr="00413518">
        <w:rPr>
          <w:rFonts w:ascii="Times New Roman" w:hAnsi="Times New Roman" w:cs="Times New Roman"/>
          <w:sz w:val="24"/>
          <w:szCs w:val="24"/>
        </w:rPr>
        <w:t>000 liter értéket is, így a növekedés mértéke a benzin esetében 31</w:t>
      </w:r>
      <w:r w:rsidR="00607405">
        <w:rPr>
          <w:rFonts w:ascii="Times New Roman" w:hAnsi="Times New Roman" w:cs="Times New Roman"/>
          <w:sz w:val="24"/>
          <w:szCs w:val="24"/>
        </w:rPr>
        <w:t xml:space="preserve"> %-os, a dízelnél </w:t>
      </w:r>
      <w:r w:rsidR="00DB3782" w:rsidRPr="00413518">
        <w:rPr>
          <w:rFonts w:ascii="Times New Roman" w:hAnsi="Times New Roman" w:cs="Times New Roman"/>
          <w:sz w:val="24"/>
          <w:szCs w:val="24"/>
        </w:rPr>
        <w:t xml:space="preserve">48%-os. A könnyű </w:t>
      </w:r>
      <w:r w:rsidR="00B20C58">
        <w:rPr>
          <w:rFonts w:ascii="Times New Roman" w:hAnsi="Times New Roman" w:cs="Times New Roman"/>
          <w:sz w:val="24"/>
          <w:szCs w:val="24"/>
        </w:rPr>
        <w:t>fűtőolajok</w:t>
      </w:r>
      <w:r w:rsidR="00DB3782" w:rsidRPr="00413518">
        <w:rPr>
          <w:rFonts w:ascii="Times New Roman" w:hAnsi="Times New Roman" w:cs="Times New Roman"/>
          <w:sz w:val="24"/>
          <w:szCs w:val="24"/>
        </w:rPr>
        <w:t xml:space="preserve"> adója is emelkedett 50%-kal, és a fölgáz adója is emelkedett ugyanebben az időszakban a kétszeresére.</w:t>
      </w:r>
      <w:r w:rsidR="00DB3782" w:rsidRPr="00413518">
        <w:rPr>
          <w:rStyle w:val="Lbjegyzet-hivatkozs"/>
          <w:sz w:val="24"/>
          <w:szCs w:val="24"/>
        </w:rPr>
        <w:footnoteReference w:id="126"/>
      </w:r>
      <w:r w:rsidR="00DB3782" w:rsidRPr="00413518">
        <w:rPr>
          <w:rFonts w:ascii="Times New Roman" w:hAnsi="Times New Roman" w:cs="Times New Roman"/>
          <w:sz w:val="24"/>
          <w:szCs w:val="24"/>
        </w:rPr>
        <w:t xml:space="preserve"> A nehéz fűtőolajok adója 2000-ben, majd 2003-ban ismét </w:t>
      </w:r>
      <w:r w:rsidR="00607405">
        <w:rPr>
          <w:rFonts w:ascii="Times New Roman" w:hAnsi="Times New Roman" w:cs="Times New Roman"/>
          <w:sz w:val="24"/>
          <w:szCs w:val="24"/>
        </w:rPr>
        <w:t>nőtt</w:t>
      </w:r>
      <w:r w:rsidR="00DB3782" w:rsidRPr="00413518">
        <w:rPr>
          <w:rFonts w:ascii="Times New Roman" w:hAnsi="Times New Roman" w:cs="Times New Roman"/>
          <w:sz w:val="24"/>
          <w:szCs w:val="24"/>
        </w:rPr>
        <w:t>. Érdekes tény, hogy a nehéz fűtőolajok felhasználása a villamos energia előállításában energiaadó köteles, ellentétben Dániával, ahol minden villamos energia előállításra használt energiatermék adómentességet élvez. 1999-ben új adónemként a villamos</w:t>
      </w:r>
      <w:r w:rsidR="00DB3782" w:rsidRPr="00413518">
        <w:rPr>
          <w:rFonts w:ascii="Times New Roman" w:hAnsi="Times New Roman" w:cs="Times New Roman"/>
          <w:sz w:val="24"/>
          <w:szCs w:val="24"/>
        </w:rPr>
        <w:softHyphen/>
        <w:t>-energiaadót vezették be, amelynek a mértéke egy 5 éves terv következtében folyamatosan nőtt.</w:t>
      </w:r>
      <w:r w:rsidR="00F55DDD" w:rsidRPr="00413518">
        <w:rPr>
          <w:rFonts w:ascii="Times New Roman" w:hAnsi="Times New Roman" w:cs="Times New Roman"/>
          <w:sz w:val="24"/>
          <w:szCs w:val="24"/>
        </w:rPr>
        <w:t xml:space="preserve"> Ebben az időszakban, részben az ETR reformnak köszönhetően a környezetvédelmi adóbevételek folyamatosan </w:t>
      </w:r>
      <w:r w:rsidR="00607405">
        <w:rPr>
          <w:rFonts w:ascii="Times New Roman" w:hAnsi="Times New Roman" w:cs="Times New Roman"/>
          <w:sz w:val="24"/>
          <w:szCs w:val="24"/>
        </w:rPr>
        <w:t>emelkedtek</w:t>
      </w:r>
      <w:r w:rsidR="00F55DDD" w:rsidRPr="00413518">
        <w:rPr>
          <w:rFonts w:ascii="Times New Roman" w:hAnsi="Times New Roman" w:cs="Times New Roman"/>
          <w:sz w:val="24"/>
          <w:szCs w:val="24"/>
        </w:rPr>
        <w:t xml:space="preserve">: a reform előtti időszakban a GDP 2,1%-a volt, 2003-ban pedig 2,7%-ra nőttek a bevételek. A soron következő években </w:t>
      </w:r>
      <w:r w:rsidR="002612F0" w:rsidRPr="00413518">
        <w:rPr>
          <w:rFonts w:ascii="Times New Roman" w:hAnsi="Times New Roman" w:cs="Times New Roman"/>
          <w:sz w:val="24"/>
          <w:szCs w:val="24"/>
        </w:rPr>
        <w:t>azonban ismételten egy csökkenés volt tapasztalható a GDP 2,2 %-ra</w:t>
      </w:r>
      <w:r w:rsidR="002612F0" w:rsidRPr="00413518">
        <w:rPr>
          <w:rStyle w:val="Lbjegyzet-hivatkozs"/>
          <w:sz w:val="24"/>
          <w:szCs w:val="24"/>
        </w:rPr>
        <w:footnoteReference w:id="127"/>
      </w:r>
      <w:r w:rsidR="002612F0" w:rsidRPr="00413518">
        <w:rPr>
          <w:rFonts w:ascii="Times New Roman" w:hAnsi="Times New Roman" w:cs="Times New Roman"/>
          <w:sz w:val="24"/>
          <w:szCs w:val="24"/>
        </w:rPr>
        <w:t xml:space="preserve"> csökkentek a bevételek, amely az EU-27 átlaga alatt található, amely abban az időben 2,6% vo</w:t>
      </w:r>
      <w:r w:rsidR="000B23CC">
        <w:rPr>
          <w:rFonts w:ascii="Times New Roman" w:hAnsi="Times New Roman" w:cs="Times New Roman"/>
          <w:sz w:val="24"/>
          <w:szCs w:val="24"/>
        </w:rPr>
        <w:t>lt.</w:t>
      </w:r>
      <w:r w:rsidR="002612F0" w:rsidRPr="00413518">
        <w:rPr>
          <w:rStyle w:val="Lbjegyzet-hivatkozs"/>
          <w:sz w:val="24"/>
          <w:szCs w:val="24"/>
        </w:rPr>
        <w:footnoteReference w:id="128"/>
      </w:r>
      <w:r w:rsidR="000B23CC">
        <w:rPr>
          <w:rFonts w:ascii="Times New Roman" w:hAnsi="Times New Roman" w:cs="Times New Roman"/>
          <w:sz w:val="24"/>
          <w:szCs w:val="24"/>
        </w:rPr>
        <w:tab/>
      </w:r>
      <w:r w:rsidR="00DB3782" w:rsidRPr="00413518">
        <w:rPr>
          <w:rFonts w:ascii="Times New Roman" w:hAnsi="Times New Roman" w:cs="Times New Roman"/>
          <w:sz w:val="24"/>
          <w:szCs w:val="24"/>
        </w:rPr>
        <w:br/>
      </w:r>
      <w:r w:rsidR="00DB3782" w:rsidRPr="00413518">
        <w:rPr>
          <w:rFonts w:ascii="Times New Roman" w:hAnsi="Times New Roman" w:cs="Times New Roman"/>
          <w:sz w:val="24"/>
          <w:szCs w:val="24"/>
        </w:rPr>
        <w:tab/>
        <w:t>Ha a német energiaadó-rendszert elemezzük elengedhetetlen két időszak között különbséget</w:t>
      </w:r>
      <w:r w:rsidR="001D1861" w:rsidRPr="00413518">
        <w:rPr>
          <w:rFonts w:ascii="Times New Roman" w:hAnsi="Times New Roman" w:cs="Times New Roman"/>
          <w:sz w:val="24"/>
          <w:szCs w:val="24"/>
        </w:rPr>
        <w:t xml:space="preserve"> </w:t>
      </w:r>
      <w:r w:rsidR="00DB3782" w:rsidRPr="00413518">
        <w:rPr>
          <w:rFonts w:ascii="Times New Roman" w:hAnsi="Times New Roman" w:cs="Times New Roman"/>
          <w:sz w:val="24"/>
          <w:szCs w:val="24"/>
        </w:rPr>
        <w:t>tenni: az 1999. előtti és utáni</w:t>
      </w:r>
      <w:r w:rsidR="00CA235B" w:rsidRPr="00413518">
        <w:rPr>
          <w:rStyle w:val="Lbjegyzet-hivatkozs"/>
          <w:sz w:val="24"/>
          <w:szCs w:val="24"/>
        </w:rPr>
        <w:footnoteReference w:id="129"/>
      </w:r>
      <w:r w:rsidR="00DB3782" w:rsidRPr="00413518">
        <w:rPr>
          <w:rFonts w:ascii="Times New Roman" w:hAnsi="Times New Roman" w:cs="Times New Roman"/>
          <w:sz w:val="24"/>
          <w:szCs w:val="24"/>
        </w:rPr>
        <w:t xml:space="preserve"> időszakok között. Ez az 1999-ben bevezetett ETR</w:t>
      </w:r>
      <w:r w:rsidR="00CA235B" w:rsidRPr="00413518">
        <w:rPr>
          <w:rFonts w:ascii="Times New Roman" w:hAnsi="Times New Roman" w:cs="Times New Roman"/>
          <w:sz w:val="24"/>
          <w:szCs w:val="24"/>
        </w:rPr>
        <w:t xml:space="preserve"> miatt</w:t>
      </w:r>
      <w:r w:rsidR="000B23CC">
        <w:rPr>
          <w:rFonts w:ascii="Times New Roman" w:hAnsi="Times New Roman" w:cs="Times New Roman"/>
          <w:sz w:val="24"/>
          <w:szCs w:val="24"/>
        </w:rPr>
        <w:t xml:space="preserve"> van</w:t>
      </w:r>
      <w:r w:rsidR="00DB3782" w:rsidRPr="00413518">
        <w:rPr>
          <w:rFonts w:ascii="Times New Roman" w:hAnsi="Times New Roman" w:cs="Times New Roman"/>
          <w:sz w:val="24"/>
          <w:szCs w:val="24"/>
        </w:rPr>
        <w:t xml:space="preserve">, </w:t>
      </w:r>
      <w:r w:rsidR="000B23CC">
        <w:rPr>
          <w:rFonts w:ascii="Times New Roman" w:hAnsi="Times New Roman" w:cs="Times New Roman"/>
          <w:sz w:val="24"/>
          <w:szCs w:val="24"/>
        </w:rPr>
        <w:t xml:space="preserve">hiszen </w:t>
      </w:r>
      <w:r w:rsidR="00DB3782" w:rsidRPr="00413518">
        <w:rPr>
          <w:rFonts w:ascii="Times New Roman" w:hAnsi="Times New Roman" w:cs="Times New Roman"/>
          <w:sz w:val="24"/>
          <w:szCs w:val="24"/>
        </w:rPr>
        <w:t>a bevételek annak köszönhetően nőttek, hogy növelték az energiaadó mértékeket. Az ETR lényege egy adózásban bevezetett struktúraváltás, ahol az energiaadó mértékek növelése mellett párhuzamosan csökkentették a munkát terhelő adókat, így különösen a munkáltatók és munkavállalók járulékfizetési kötelezettségeit.</w:t>
      </w:r>
      <w:r w:rsidR="00DB3782" w:rsidRPr="00413518">
        <w:rPr>
          <w:rStyle w:val="Lbjegyzet-hivatkozs"/>
          <w:sz w:val="24"/>
          <w:szCs w:val="24"/>
        </w:rPr>
        <w:footnoteReference w:id="130"/>
      </w:r>
      <w:r w:rsidR="00DB3782" w:rsidRPr="00413518">
        <w:rPr>
          <w:rFonts w:ascii="Times New Roman" w:hAnsi="Times New Roman" w:cs="Times New Roman"/>
          <w:sz w:val="24"/>
          <w:szCs w:val="24"/>
        </w:rPr>
        <w:t xml:space="preserve"> </w:t>
      </w:r>
      <w:r w:rsidR="00CA235B" w:rsidRPr="00413518">
        <w:rPr>
          <w:rFonts w:ascii="Times New Roman" w:hAnsi="Times New Roman" w:cs="Times New Roman"/>
          <w:sz w:val="24"/>
          <w:szCs w:val="24"/>
        </w:rPr>
        <w:t xml:space="preserve">A németek ezt az éles irányváltást az energiapolitikában azért tették, hogy az embereket és a vállalkozásokat </w:t>
      </w:r>
      <w:r w:rsidR="00CA235B" w:rsidRPr="00413518">
        <w:rPr>
          <w:rFonts w:ascii="Times New Roman" w:hAnsi="Times New Roman" w:cs="Times New Roman"/>
          <w:sz w:val="24"/>
          <w:szCs w:val="24"/>
        </w:rPr>
        <w:lastRenderedPageBreak/>
        <w:t>a jobb energiahatékonyság és energiatakarékosság elérésére, és a megújuló energiaforrások használatára ösztönözzék.</w:t>
      </w:r>
      <w:r w:rsidR="00CA235B" w:rsidRPr="00413518">
        <w:rPr>
          <w:rStyle w:val="Lbjegyzet-hivatkozs"/>
          <w:sz w:val="24"/>
          <w:szCs w:val="24"/>
        </w:rPr>
        <w:footnoteReference w:id="131"/>
      </w:r>
      <w:r w:rsidR="00CA235B" w:rsidRPr="00413518">
        <w:rPr>
          <w:rFonts w:ascii="Times New Roman" w:hAnsi="Times New Roman" w:cs="Times New Roman"/>
          <w:sz w:val="24"/>
          <w:szCs w:val="24"/>
        </w:rPr>
        <w:t xml:space="preserve">  </w:t>
      </w:r>
      <w:r w:rsidR="00DB3782" w:rsidRPr="00413518">
        <w:rPr>
          <w:rFonts w:ascii="Times New Roman" w:hAnsi="Times New Roman" w:cs="Times New Roman"/>
          <w:sz w:val="24"/>
          <w:szCs w:val="24"/>
        </w:rPr>
        <w:t xml:space="preserve">A villamos-energiaadóból származó összes adóbevételt erre a váltásra használták fel, amelynek mértéke megközelítőleg </w:t>
      </w:r>
      <w:r w:rsidR="00AA77DD" w:rsidRPr="00413518">
        <w:rPr>
          <w:rFonts w:ascii="Times New Roman" w:hAnsi="Times New Roman" w:cs="Times New Roman"/>
          <w:sz w:val="24"/>
          <w:szCs w:val="24"/>
        </w:rPr>
        <w:t>az összes bevétel 32%-a volt.</w:t>
      </w:r>
      <w:r w:rsidR="00AA77DD" w:rsidRPr="00413518">
        <w:rPr>
          <w:rStyle w:val="Lbjegyzet-hivatkozs"/>
          <w:sz w:val="24"/>
          <w:szCs w:val="24"/>
        </w:rPr>
        <w:footnoteReference w:id="132"/>
      </w:r>
      <w:r w:rsidR="00AA77DD" w:rsidRPr="00413518">
        <w:rPr>
          <w:rFonts w:ascii="Times New Roman" w:hAnsi="Times New Roman" w:cs="Times New Roman"/>
          <w:sz w:val="24"/>
          <w:szCs w:val="24"/>
        </w:rPr>
        <w:t xml:space="preserve"> A bevételek legnagyobb részét – 50 %-át meghaladóan– az üzemanyagok adója, így a benzin és a dízel adója teszik ki. Az adózási tendenciaváltási programra 2003-ban 18,6 milliárd eurót fordítottak, amely a GDP-jük 0,9%-a.</w:t>
      </w:r>
      <w:r w:rsidR="00AA77DD" w:rsidRPr="00413518">
        <w:rPr>
          <w:rStyle w:val="Lbjegyzet-hivatkozs"/>
          <w:sz w:val="24"/>
          <w:szCs w:val="24"/>
        </w:rPr>
        <w:footnoteReference w:id="133"/>
      </w:r>
      <w:r w:rsidR="00CB0E0C" w:rsidRPr="00413518">
        <w:rPr>
          <w:rFonts w:ascii="Times New Roman" w:hAnsi="Times New Roman" w:cs="Times New Roman"/>
          <w:sz w:val="24"/>
          <w:szCs w:val="24"/>
        </w:rPr>
        <w:tab/>
      </w:r>
      <w:r w:rsidR="00AA77DD" w:rsidRPr="00413518">
        <w:rPr>
          <w:rFonts w:ascii="Times New Roman" w:hAnsi="Times New Roman" w:cs="Times New Roman"/>
          <w:sz w:val="24"/>
          <w:szCs w:val="24"/>
        </w:rPr>
        <w:br/>
      </w:r>
      <w:r w:rsidR="00AA77DD" w:rsidRPr="00413518">
        <w:rPr>
          <w:rFonts w:ascii="Times New Roman" w:hAnsi="Times New Roman" w:cs="Times New Roman"/>
          <w:sz w:val="24"/>
          <w:szCs w:val="24"/>
        </w:rPr>
        <w:tab/>
        <w:t>Ezeket a változtatásokat speciális az energiatermékekre vonatkozó adózási előírások kísérték, különösen az üzemanyagok területén. Az érintett energiatermékek vonatkozásában az alábbi iparágakra vonatkoztak az előírások: feldolgozóipar, me</w:t>
      </w:r>
      <w:r w:rsidR="00460FDE">
        <w:rPr>
          <w:rFonts w:ascii="Times New Roman" w:hAnsi="Times New Roman" w:cs="Times New Roman"/>
          <w:sz w:val="24"/>
          <w:szCs w:val="24"/>
        </w:rPr>
        <w:t>zőgazdaság, halászat, erdészet.</w:t>
      </w:r>
      <w:r w:rsidR="00AA77DD" w:rsidRPr="00413518">
        <w:rPr>
          <w:rFonts w:ascii="Times New Roman" w:hAnsi="Times New Roman" w:cs="Times New Roman"/>
          <w:sz w:val="24"/>
          <w:szCs w:val="24"/>
        </w:rPr>
        <w:tab/>
      </w:r>
      <w:r w:rsidR="00AA77DD" w:rsidRPr="00413518">
        <w:rPr>
          <w:rFonts w:ascii="Times New Roman" w:hAnsi="Times New Roman" w:cs="Times New Roman"/>
          <w:sz w:val="24"/>
          <w:szCs w:val="24"/>
        </w:rPr>
        <w:br/>
      </w:r>
      <w:r w:rsidR="00AA77DD" w:rsidRPr="00413518">
        <w:rPr>
          <w:rFonts w:ascii="Times New Roman" w:hAnsi="Times New Roman" w:cs="Times New Roman"/>
          <w:sz w:val="24"/>
          <w:szCs w:val="24"/>
        </w:rPr>
        <w:tab/>
        <w:t>Az összes feldolgozóipar</w:t>
      </w:r>
      <w:r w:rsidR="00D45ACB">
        <w:rPr>
          <w:rFonts w:ascii="Times New Roman" w:hAnsi="Times New Roman" w:cs="Times New Roman"/>
          <w:sz w:val="24"/>
          <w:szCs w:val="24"/>
        </w:rPr>
        <w:t>i</w:t>
      </w:r>
      <w:r w:rsidR="00AA77DD" w:rsidRPr="00413518">
        <w:rPr>
          <w:rFonts w:ascii="Times New Roman" w:hAnsi="Times New Roman" w:cs="Times New Roman"/>
          <w:sz w:val="24"/>
          <w:szCs w:val="24"/>
        </w:rPr>
        <w:t>, mezőgazdasági, halászati és erdészeti vállalat adókedvezményben részesül</w:t>
      </w:r>
      <w:r w:rsidR="00D45ACB">
        <w:rPr>
          <w:rStyle w:val="Lbjegyzet-hivatkozs"/>
          <w:sz w:val="24"/>
          <w:szCs w:val="24"/>
        </w:rPr>
        <w:footnoteReference w:id="134"/>
      </w:r>
      <w:r w:rsidR="00AA77DD" w:rsidRPr="00413518">
        <w:rPr>
          <w:rFonts w:ascii="Times New Roman" w:hAnsi="Times New Roman" w:cs="Times New Roman"/>
          <w:sz w:val="24"/>
          <w:szCs w:val="24"/>
        </w:rPr>
        <w:t>, amely a villamos energia, a fűtőolaj, és a földgáz adókulcsainak 40 %-ig terjed ki.</w:t>
      </w:r>
      <w:r w:rsidR="00AA77DD" w:rsidRPr="00413518">
        <w:rPr>
          <w:rStyle w:val="Lbjegyzet-hivatkozs"/>
          <w:sz w:val="24"/>
          <w:szCs w:val="24"/>
        </w:rPr>
        <w:footnoteReference w:id="135"/>
      </w:r>
      <w:r w:rsidR="00AA77DD" w:rsidRPr="00413518">
        <w:rPr>
          <w:rFonts w:ascii="Times New Roman" w:hAnsi="Times New Roman" w:cs="Times New Roman"/>
          <w:sz w:val="24"/>
          <w:szCs w:val="24"/>
        </w:rPr>
        <w:t xml:space="preserve">Azonban ez a kedvezmény csakis azon vállalatok vonatkozásában él, amelyeknél az éves energiafogyasztás mértéke meghaladja az 512, 5 eurót. Máshogy kifejezve: addig kell fizetni teljes összegű energiaadót ezeknek a vállalatoknak, amíg az éves energiafogyasztásuk </w:t>
      </w:r>
      <w:r w:rsidR="00F50855" w:rsidRPr="00413518">
        <w:rPr>
          <w:rFonts w:ascii="Times New Roman" w:hAnsi="Times New Roman" w:cs="Times New Roman"/>
          <w:sz w:val="24"/>
          <w:szCs w:val="24"/>
        </w:rPr>
        <w:t>eléri</w:t>
      </w:r>
      <w:r w:rsidR="00AA77DD" w:rsidRPr="00413518">
        <w:rPr>
          <w:rFonts w:ascii="Times New Roman" w:hAnsi="Times New Roman" w:cs="Times New Roman"/>
          <w:sz w:val="24"/>
          <w:szCs w:val="24"/>
        </w:rPr>
        <w:t xml:space="preserve"> az 512,5 eurót</w:t>
      </w:r>
      <w:r w:rsidR="00F50855" w:rsidRPr="00413518">
        <w:rPr>
          <w:rFonts w:ascii="Times New Roman" w:hAnsi="Times New Roman" w:cs="Times New Roman"/>
          <w:sz w:val="24"/>
          <w:szCs w:val="24"/>
        </w:rPr>
        <w:t>, ha pedig meghaladja életbe lép a fentebb említett kedvezmény.</w:t>
      </w:r>
      <w:r w:rsidR="00F50855" w:rsidRPr="00413518">
        <w:rPr>
          <w:rStyle w:val="Lbjegyzet-hivatkozs"/>
          <w:sz w:val="24"/>
          <w:szCs w:val="24"/>
        </w:rPr>
        <w:footnoteReference w:id="136"/>
      </w:r>
      <w:r w:rsidR="00A54370" w:rsidRPr="00413518">
        <w:rPr>
          <w:rFonts w:ascii="Times New Roman" w:hAnsi="Times New Roman" w:cs="Times New Roman"/>
          <w:sz w:val="24"/>
          <w:szCs w:val="24"/>
        </w:rPr>
        <w:t>Az új adótörvény és a reform keretében Németország azt a megoldást választotta, hogy az energiaigényes iparágak vonatkozásában, különösen a feldolgozóipar területén adókedvezmények széles skáláját biztosítják annak érdekében, hogy ezen területek versenyképessége ne essen vissza, így ne kerülhessen</w:t>
      </w:r>
      <w:r w:rsidR="00D45ACB">
        <w:rPr>
          <w:rFonts w:ascii="Times New Roman" w:hAnsi="Times New Roman" w:cs="Times New Roman"/>
          <w:sz w:val="24"/>
          <w:szCs w:val="24"/>
        </w:rPr>
        <w:t>ek</w:t>
      </w:r>
      <w:r w:rsidR="00A54370" w:rsidRPr="00413518">
        <w:rPr>
          <w:rFonts w:ascii="Times New Roman" w:hAnsi="Times New Roman" w:cs="Times New Roman"/>
          <w:sz w:val="24"/>
          <w:szCs w:val="24"/>
        </w:rPr>
        <w:t xml:space="preserve"> előtérbe a külföldi vállalatok, termelők.</w:t>
      </w:r>
      <w:r w:rsidR="00A54370" w:rsidRPr="00413518">
        <w:rPr>
          <w:rStyle w:val="Lbjegyzet-hivatkozs"/>
          <w:sz w:val="24"/>
          <w:szCs w:val="24"/>
        </w:rPr>
        <w:footnoteReference w:id="137"/>
      </w:r>
      <w:r w:rsidR="00A54370" w:rsidRPr="00413518">
        <w:rPr>
          <w:rFonts w:ascii="Times New Roman" w:hAnsi="Times New Roman" w:cs="Times New Roman"/>
          <w:sz w:val="24"/>
          <w:szCs w:val="24"/>
        </w:rPr>
        <w:t xml:space="preserve"> </w:t>
      </w:r>
      <w:r w:rsidR="00016431" w:rsidRPr="00413518">
        <w:rPr>
          <w:rFonts w:ascii="Times New Roman" w:hAnsi="Times New Roman" w:cs="Times New Roman"/>
          <w:sz w:val="24"/>
          <w:szCs w:val="24"/>
        </w:rPr>
        <w:t xml:space="preserve">Az </w:t>
      </w:r>
      <w:r w:rsidR="00D45ACB">
        <w:rPr>
          <w:rFonts w:ascii="Times New Roman" w:hAnsi="Times New Roman" w:cs="Times New Roman"/>
          <w:sz w:val="24"/>
          <w:szCs w:val="24"/>
        </w:rPr>
        <w:t xml:space="preserve">erre vonatkozó </w:t>
      </w:r>
      <w:r w:rsidR="00016431" w:rsidRPr="00413518">
        <w:rPr>
          <w:rFonts w:ascii="Times New Roman" w:hAnsi="Times New Roman" w:cs="Times New Roman"/>
          <w:sz w:val="24"/>
          <w:szCs w:val="24"/>
        </w:rPr>
        <w:t>engedélyt először az Európai Bizottságtól kellett megkérniük</w:t>
      </w:r>
      <w:r w:rsidR="00D45ACB">
        <w:rPr>
          <w:rFonts w:ascii="Times New Roman" w:hAnsi="Times New Roman" w:cs="Times New Roman"/>
          <w:sz w:val="24"/>
          <w:szCs w:val="24"/>
        </w:rPr>
        <w:t xml:space="preserve">. </w:t>
      </w:r>
      <w:r w:rsidR="00016431" w:rsidRPr="00413518">
        <w:rPr>
          <w:rFonts w:ascii="Times New Roman" w:hAnsi="Times New Roman" w:cs="Times New Roman"/>
          <w:sz w:val="24"/>
          <w:szCs w:val="24"/>
        </w:rPr>
        <w:t>A kezdeti 80%-os adókedvezményt először 3 évre engedélyezte a Bizottság. Ugyanakkor nemzeti szinten ezzel elégedetlenek voltak, hiszen alapvetően a kedvezményt a fentebb felsorolt szektorok vonatkozásában azét kívánták a németek alkalmazni, hogy fejlesszék az energiatakarékossági követelményeiket. Végül 2000-</w:t>
      </w:r>
      <w:r w:rsidR="00D45ACB">
        <w:rPr>
          <w:rFonts w:ascii="Times New Roman" w:hAnsi="Times New Roman" w:cs="Times New Roman"/>
          <w:sz w:val="24"/>
          <w:szCs w:val="24"/>
        </w:rPr>
        <w:t xml:space="preserve">ben egészen 2006-ig, </w:t>
      </w:r>
      <w:r w:rsidR="00016431" w:rsidRPr="00413518">
        <w:rPr>
          <w:rFonts w:ascii="Times New Roman" w:hAnsi="Times New Roman" w:cs="Times New Roman"/>
          <w:sz w:val="24"/>
          <w:szCs w:val="24"/>
        </w:rPr>
        <w:t>az általuk igényelt 5 éves időszakra engedélyezte az Unió csúcsszerve a kedvezményeket.</w:t>
      </w:r>
      <w:r w:rsidR="00016431" w:rsidRPr="00413518">
        <w:rPr>
          <w:rStyle w:val="Lbjegyzet-hivatkozs"/>
          <w:sz w:val="24"/>
          <w:szCs w:val="24"/>
        </w:rPr>
        <w:footnoteReference w:id="138"/>
      </w:r>
      <w:r w:rsidR="00016431" w:rsidRPr="00413518">
        <w:rPr>
          <w:rFonts w:ascii="Times New Roman" w:hAnsi="Times New Roman" w:cs="Times New Roman"/>
          <w:sz w:val="24"/>
          <w:szCs w:val="24"/>
        </w:rPr>
        <w:tab/>
      </w:r>
      <w:r w:rsidR="00F50855" w:rsidRPr="00413518">
        <w:rPr>
          <w:rFonts w:ascii="Times New Roman" w:hAnsi="Times New Roman" w:cs="Times New Roman"/>
          <w:sz w:val="24"/>
          <w:szCs w:val="24"/>
        </w:rPr>
        <w:br/>
      </w:r>
      <w:r w:rsidR="00F50855" w:rsidRPr="00413518">
        <w:rPr>
          <w:rFonts w:ascii="Times New Roman" w:hAnsi="Times New Roman" w:cs="Times New Roman"/>
          <w:sz w:val="24"/>
          <w:szCs w:val="24"/>
        </w:rPr>
        <w:tab/>
        <w:t xml:space="preserve">Ezen felül létezik a feldolgozóipar vonatkozásában </w:t>
      </w:r>
      <w:r w:rsidR="00D45ACB">
        <w:rPr>
          <w:rFonts w:ascii="Times New Roman" w:hAnsi="Times New Roman" w:cs="Times New Roman"/>
          <w:sz w:val="24"/>
          <w:szCs w:val="24"/>
        </w:rPr>
        <w:t xml:space="preserve">az adózás </w:t>
      </w:r>
      <w:r w:rsidR="00E23F1B">
        <w:rPr>
          <w:rFonts w:ascii="Times New Roman" w:hAnsi="Times New Roman" w:cs="Times New Roman"/>
          <w:sz w:val="24"/>
          <w:szCs w:val="24"/>
        </w:rPr>
        <w:t>területén</w:t>
      </w:r>
      <w:r w:rsidR="00D45ACB" w:rsidRPr="00D45ACB">
        <w:rPr>
          <w:rFonts w:ascii="Times New Roman" w:hAnsi="Times New Roman" w:cs="Times New Roman"/>
          <w:sz w:val="24"/>
          <w:szCs w:val="24"/>
        </w:rPr>
        <w:t xml:space="preserve"> </w:t>
      </w:r>
      <w:r w:rsidR="00D45ACB" w:rsidRPr="00413518">
        <w:rPr>
          <w:rFonts w:ascii="Times New Roman" w:hAnsi="Times New Roman" w:cs="Times New Roman"/>
          <w:sz w:val="24"/>
          <w:szCs w:val="24"/>
        </w:rPr>
        <w:t>egy lehetőség</w:t>
      </w:r>
      <w:r w:rsidR="00F50855" w:rsidRPr="00413518">
        <w:rPr>
          <w:rFonts w:ascii="Times New Roman" w:hAnsi="Times New Roman" w:cs="Times New Roman"/>
          <w:sz w:val="24"/>
          <w:szCs w:val="24"/>
        </w:rPr>
        <w:t xml:space="preserve">, </w:t>
      </w:r>
      <w:r w:rsidR="00F50855" w:rsidRPr="00413518">
        <w:rPr>
          <w:rFonts w:ascii="Times New Roman" w:hAnsi="Times New Roman" w:cs="Times New Roman"/>
          <w:sz w:val="24"/>
          <w:szCs w:val="24"/>
        </w:rPr>
        <w:lastRenderedPageBreak/>
        <w:t>amely</w:t>
      </w:r>
      <w:r w:rsidR="000B23CC">
        <w:rPr>
          <w:rFonts w:ascii="Times New Roman" w:hAnsi="Times New Roman" w:cs="Times New Roman"/>
          <w:sz w:val="24"/>
          <w:szCs w:val="24"/>
        </w:rPr>
        <w:t>et alkalmazhatnak</w:t>
      </w:r>
      <w:r w:rsidR="00F50855" w:rsidRPr="00413518">
        <w:rPr>
          <w:rFonts w:ascii="Times New Roman" w:hAnsi="Times New Roman" w:cs="Times New Roman"/>
          <w:sz w:val="24"/>
          <w:szCs w:val="24"/>
        </w:rPr>
        <w:t>: „az adott vállalat visszatérítési igényre jogosult abban az esetben, hogy ha az energiaadó terhelése magasabb, mint az adott vállalat által kifizetendő csökkentett m</w:t>
      </w:r>
      <w:r w:rsidR="000B23CC">
        <w:rPr>
          <w:rFonts w:ascii="Times New Roman" w:hAnsi="Times New Roman" w:cs="Times New Roman"/>
          <w:sz w:val="24"/>
          <w:szCs w:val="24"/>
        </w:rPr>
        <w:t>unkát terhelő járulékok mértéke.”</w:t>
      </w:r>
      <w:r w:rsidR="00F50855" w:rsidRPr="00413518">
        <w:rPr>
          <w:rStyle w:val="Lbjegyzet-hivatkozs"/>
          <w:sz w:val="24"/>
          <w:szCs w:val="24"/>
        </w:rPr>
        <w:footnoteReference w:id="139"/>
      </w:r>
      <w:r w:rsidR="00F50855" w:rsidRPr="00413518">
        <w:rPr>
          <w:rFonts w:ascii="Times New Roman" w:hAnsi="Times New Roman" w:cs="Times New Roman"/>
          <w:sz w:val="24"/>
          <w:szCs w:val="24"/>
        </w:rPr>
        <w:t xml:space="preserve"> Azonban a visszatérítés összege jelenleg csak a különbség 95%-át éri el.</w:t>
      </w:r>
      <w:r w:rsidR="00F50855" w:rsidRPr="00413518">
        <w:rPr>
          <w:rFonts w:ascii="Times New Roman" w:hAnsi="Times New Roman" w:cs="Times New Roman"/>
          <w:sz w:val="24"/>
          <w:szCs w:val="24"/>
        </w:rPr>
        <w:tab/>
      </w:r>
      <w:r w:rsidR="00F50855" w:rsidRPr="00413518">
        <w:rPr>
          <w:rFonts w:ascii="Times New Roman" w:hAnsi="Times New Roman" w:cs="Times New Roman"/>
          <w:sz w:val="24"/>
          <w:szCs w:val="24"/>
        </w:rPr>
        <w:br/>
      </w:r>
      <w:r w:rsidR="00F50855" w:rsidRPr="00413518">
        <w:rPr>
          <w:rFonts w:ascii="Times New Roman" w:hAnsi="Times New Roman" w:cs="Times New Roman"/>
          <w:sz w:val="24"/>
          <w:szCs w:val="24"/>
        </w:rPr>
        <w:tab/>
        <w:t xml:space="preserve">Az alábbi példa jól szemléleti, hogy a feldolgozóipar hogyan szembesül a jelentős adókedvezménnyel. 2004-ben a standard villamos-energiaadó mértéke 20,5 euró/MWh volt. A fentebb felsorolt szektorokba sorolható nagyvállalatokat egy ún. </w:t>
      </w:r>
      <w:r w:rsidR="00F50855" w:rsidRPr="00413518">
        <w:rPr>
          <w:rFonts w:ascii="Times New Roman" w:hAnsi="Times New Roman" w:cs="Times New Roman"/>
          <w:i/>
          <w:sz w:val="24"/>
          <w:szCs w:val="24"/>
        </w:rPr>
        <w:t>hatékony energiaadó</w:t>
      </w:r>
      <w:r w:rsidR="00F50855" w:rsidRPr="00413518">
        <w:rPr>
          <w:rFonts w:ascii="Times New Roman" w:hAnsi="Times New Roman" w:cs="Times New Roman"/>
          <w:sz w:val="24"/>
          <w:szCs w:val="24"/>
        </w:rPr>
        <w:t xml:space="preserve"> mérték terheli, amely a standard érték 60%-át jelenti, azaz 12,3 euró/MWh. A feldolgozóiparnak lehetősége volt azonban ezen érték harmadát, vagyis 0,62 euró/MWh mértéket befizetni, amennyiben eleget tettek az „adófelsőhatár” követelményének. </w:t>
      </w:r>
      <w:r w:rsidR="00F50855" w:rsidRPr="00413518">
        <w:rPr>
          <w:rStyle w:val="Lbjegyzet-hivatkozs"/>
          <w:sz w:val="24"/>
          <w:szCs w:val="24"/>
        </w:rPr>
        <w:footnoteReference w:id="140"/>
      </w:r>
    </w:p>
    <w:p w:rsidR="00254408" w:rsidRDefault="002A5FB5" w:rsidP="00254408">
      <w:pPr>
        <w:spacing w:line="360" w:lineRule="auto"/>
        <w:jc w:val="both"/>
        <w:rPr>
          <w:rFonts w:ascii="Times New Roman" w:hAnsi="Times New Roman" w:cs="Times New Roman"/>
          <w:sz w:val="24"/>
          <w:szCs w:val="24"/>
        </w:rPr>
      </w:pPr>
      <w:r>
        <w:rPr>
          <w:rStyle w:val="Kiemels"/>
          <w:rFonts w:ascii="Times New Roman" w:hAnsi="Times New Roman" w:cs="Times New Roman"/>
        </w:rPr>
        <w:t>4</w:t>
      </w:r>
      <w:r w:rsidR="00254408" w:rsidRPr="00413518">
        <w:rPr>
          <w:rStyle w:val="Kiemels"/>
          <w:rFonts w:ascii="Times New Roman" w:hAnsi="Times New Roman" w:cs="Times New Roman"/>
        </w:rPr>
        <w:t>. Ábra</w:t>
      </w:r>
      <w:r w:rsidR="00254408" w:rsidRPr="00413518">
        <w:rPr>
          <w:rStyle w:val="Kiemels"/>
          <w:rFonts w:ascii="Times New Roman" w:hAnsi="Times New Roman" w:cs="Times New Roman"/>
          <w:vertAlign w:val="superscript"/>
        </w:rPr>
        <w:footnoteReference w:id="141"/>
      </w:r>
      <w:r w:rsidR="00254408" w:rsidRPr="00413518">
        <w:rPr>
          <w:rStyle w:val="Kiemels"/>
          <w:rFonts w:ascii="Times New Roman" w:hAnsi="Times New Roman" w:cs="Times New Roman"/>
        </w:rPr>
        <w:t>:</w:t>
      </w:r>
      <w:r w:rsidR="00254408">
        <w:rPr>
          <w:rStyle w:val="Kiemels"/>
          <w:rFonts w:ascii="Times New Roman" w:hAnsi="Times New Roman" w:cs="Times New Roman"/>
        </w:rPr>
        <w:tab/>
      </w:r>
      <w:r w:rsidR="00254408">
        <w:rPr>
          <w:rStyle w:val="Kiemels"/>
          <w:rFonts w:ascii="Times New Roman" w:hAnsi="Times New Roman" w:cs="Times New Roman"/>
        </w:rPr>
        <w:br/>
      </w:r>
      <w:r w:rsidR="00254408" w:rsidRPr="00413518">
        <w:rPr>
          <w:rFonts w:ascii="Times New Roman" w:hAnsi="Times New Roman" w:cs="Times New Roman"/>
          <w:noProof/>
          <w:sz w:val="24"/>
          <w:szCs w:val="24"/>
        </w:rPr>
        <w:drawing>
          <wp:inline distT="0" distB="0" distL="0" distR="0">
            <wp:extent cx="5486400" cy="2952750"/>
            <wp:effectExtent l="19050" t="0" r="19050" b="0"/>
            <wp:docPr id="14" name="Diagram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254408" w:rsidRDefault="00254408" w:rsidP="00254408">
      <w:pPr>
        <w:spacing w:line="360" w:lineRule="auto"/>
        <w:jc w:val="both"/>
        <w:rPr>
          <w:rFonts w:ascii="Times New Roman" w:hAnsi="Times New Roman" w:cs="Times New Roman"/>
          <w:sz w:val="24"/>
          <w:szCs w:val="24"/>
        </w:rPr>
      </w:pPr>
      <w:r>
        <w:rPr>
          <w:rFonts w:ascii="Times New Roman" w:hAnsi="Times New Roman" w:cs="Times New Roman"/>
          <w:b/>
          <w:i/>
          <w:sz w:val="24"/>
          <w:szCs w:val="24"/>
        </w:rPr>
        <w:t>Forrás:</w:t>
      </w:r>
      <w:hyperlink r:id="rId22" w:history="1">
        <w:r w:rsidR="0078579F" w:rsidRPr="00CA1492">
          <w:rPr>
            <w:rStyle w:val="Hiperhivatkozs"/>
            <w:rFonts w:ascii="Times New Roman" w:hAnsi="Times New Roman" w:cs="Times New Roman"/>
            <w:sz w:val="24"/>
            <w:szCs w:val="24"/>
          </w:rPr>
          <w:t>www.destatis.de/EN/FactsFigures/NationalEconomyEnvironment/Environment/EnvironmentalEconomicAccounting/EnvironmentalProtectionMeasures/Current.htm</w:t>
        </w:r>
      </w:hyperlink>
    </w:p>
    <w:p w:rsidR="00DB3782" w:rsidRPr="00413518" w:rsidRDefault="00254408" w:rsidP="00254408">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F50855" w:rsidRPr="00413518">
        <w:rPr>
          <w:rFonts w:ascii="Times New Roman" w:hAnsi="Times New Roman" w:cs="Times New Roman"/>
          <w:sz w:val="24"/>
          <w:szCs w:val="24"/>
        </w:rPr>
        <w:t xml:space="preserve">2007-ben az adózási rendszer egy kisebb felülvizsgálaton ment keresztül azzal, hogy az adómértéket a „teljes adómértékre” egészítették ki és a 60%-os kedvezmény szabálya továbbra is élt az 1999 előtti adómértékeknél. </w:t>
      </w:r>
      <w:r w:rsidR="00A54370" w:rsidRPr="00413518">
        <w:rPr>
          <w:rFonts w:ascii="Times New Roman" w:hAnsi="Times New Roman" w:cs="Times New Roman"/>
          <w:sz w:val="24"/>
          <w:szCs w:val="24"/>
        </w:rPr>
        <w:t xml:space="preserve">A következő lépés 2011-ben következett be, amikor </w:t>
      </w:r>
      <w:r w:rsidR="009B5A9A" w:rsidRPr="00413518">
        <w:rPr>
          <w:rFonts w:ascii="Times New Roman" w:hAnsi="Times New Roman" w:cs="Times New Roman"/>
          <w:sz w:val="24"/>
          <w:szCs w:val="24"/>
        </w:rPr>
        <w:t xml:space="preserve">is elhatározták, hogy a nukleáris fűtőanyagokat megadóztatják; csökkentik a kivételek </w:t>
      </w:r>
      <w:r w:rsidR="009B5A9A" w:rsidRPr="00413518">
        <w:rPr>
          <w:rFonts w:ascii="Times New Roman" w:hAnsi="Times New Roman" w:cs="Times New Roman"/>
          <w:sz w:val="24"/>
          <w:szCs w:val="24"/>
        </w:rPr>
        <w:lastRenderedPageBreak/>
        <w:t>számát az energiaadó vonatkozásában.</w:t>
      </w:r>
      <w:r w:rsidR="009B5A9A" w:rsidRPr="00413518">
        <w:rPr>
          <w:rStyle w:val="Lbjegyzet-hivatkozs"/>
          <w:sz w:val="24"/>
          <w:szCs w:val="24"/>
        </w:rPr>
        <w:footnoteReference w:id="142"/>
      </w:r>
      <w:r w:rsidR="009B5A9A" w:rsidRPr="00413518">
        <w:rPr>
          <w:rFonts w:ascii="Times New Roman" w:hAnsi="Times New Roman" w:cs="Times New Roman"/>
          <w:sz w:val="24"/>
          <w:szCs w:val="24"/>
        </w:rPr>
        <w:t xml:space="preserve">A reform keretében szó került az egyik leggyorsabban fejlődő és a legtöbbek által igénybe vett közlekedési ágazat, a repülés megadóztatásáról. Jelenleg az Európai Unióban nagy ellenállás lenne a </w:t>
      </w:r>
      <w:r w:rsidR="009B5A9A" w:rsidRPr="00413518">
        <w:rPr>
          <w:rFonts w:ascii="Times New Roman" w:hAnsi="Times New Roman" w:cs="Times New Roman"/>
          <w:i/>
          <w:sz w:val="24"/>
          <w:szCs w:val="24"/>
        </w:rPr>
        <w:t>kerozinadóval</w:t>
      </w:r>
      <w:r w:rsidR="009B5A9A" w:rsidRPr="00413518">
        <w:rPr>
          <w:rFonts w:ascii="Times New Roman" w:hAnsi="Times New Roman" w:cs="Times New Roman"/>
          <w:sz w:val="24"/>
          <w:szCs w:val="24"/>
        </w:rPr>
        <w:t xml:space="preserve"> kapcsolatban</w:t>
      </w:r>
      <w:r w:rsidR="009B5A9A" w:rsidRPr="00413518">
        <w:rPr>
          <w:rStyle w:val="Lbjegyzet-hivatkozs"/>
          <w:sz w:val="24"/>
          <w:szCs w:val="24"/>
        </w:rPr>
        <w:footnoteReference w:id="143"/>
      </w:r>
      <w:r w:rsidR="009B5A9A" w:rsidRPr="00413518">
        <w:rPr>
          <w:rFonts w:ascii="Times New Roman" w:hAnsi="Times New Roman" w:cs="Times New Roman"/>
          <w:sz w:val="24"/>
          <w:szCs w:val="24"/>
        </w:rPr>
        <w:t>, így ez jelenleg még elméleti síkon létezik, viszont 2012-ben az EU elhatározta azt, hogy a kibocsátás-kereskedelem részévé emelik a repülést. A nukleáris energiával kapcsolatban a plutónium és az urán grammonkénti mennyiségeit teszik adókötelessé, amelynek mértéke 145 euró/gramm. Ez az érték 2016-ig korlátozott</w:t>
      </w:r>
      <w:r w:rsidR="009B5A9A" w:rsidRPr="00413518">
        <w:rPr>
          <w:rStyle w:val="Lbjegyzet-hivatkozs"/>
          <w:sz w:val="24"/>
          <w:szCs w:val="24"/>
        </w:rPr>
        <w:footnoteReference w:id="144"/>
      </w:r>
      <w:r w:rsidR="009B5A9A" w:rsidRPr="00413518">
        <w:rPr>
          <w:rFonts w:ascii="Times New Roman" w:hAnsi="Times New Roman" w:cs="Times New Roman"/>
          <w:sz w:val="24"/>
          <w:szCs w:val="24"/>
        </w:rPr>
        <w:t>. Ezzel</w:t>
      </w:r>
      <w:r w:rsidR="004F4EE5" w:rsidRPr="00413518">
        <w:rPr>
          <w:rFonts w:ascii="Times New Roman" w:hAnsi="Times New Roman" w:cs="Times New Roman"/>
          <w:sz w:val="24"/>
          <w:szCs w:val="24"/>
        </w:rPr>
        <w:t xml:space="preserve"> szeretnék elérni a németek, a f</w:t>
      </w:r>
      <w:r w:rsidR="009B5A9A" w:rsidRPr="00413518">
        <w:rPr>
          <w:rFonts w:ascii="Times New Roman" w:hAnsi="Times New Roman" w:cs="Times New Roman"/>
          <w:sz w:val="24"/>
          <w:szCs w:val="24"/>
        </w:rPr>
        <w:t>ukushimai atomkatasztrófára tekintettel, hogy az atomerőművek, így a nukleáris energiaellátás jelentősége csök</w:t>
      </w:r>
      <w:r w:rsidR="00CB0E0C" w:rsidRPr="00413518">
        <w:rPr>
          <w:rFonts w:ascii="Times New Roman" w:hAnsi="Times New Roman" w:cs="Times New Roman"/>
          <w:sz w:val="24"/>
          <w:szCs w:val="24"/>
        </w:rPr>
        <w:t>kenjen.</w:t>
      </w:r>
      <w:r w:rsidR="00CB0E0C" w:rsidRPr="00413518">
        <w:rPr>
          <w:rFonts w:ascii="Times New Roman" w:hAnsi="Times New Roman" w:cs="Times New Roman"/>
          <w:sz w:val="24"/>
          <w:szCs w:val="24"/>
        </w:rPr>
        <w:tab/>
      </w:r>
    </w:p>
    <w:p w:rsidR="00433414" w:rsidRPr="00413518" w:rsidRDefault="00433414" w:rsidP="0069191A">
      <w:pPr>
        <w:spacing w:line="360" w:lineRule="auto"/>
        <w:jc w:val="both"/>
        <w:rPr>
          <w:rFonts w:ascii="Times New Roman" w:hAnsi="Times New Roman" w:cs="Times New Roman"/>
          <w:sz w:val="24"/>
          <w:szCs w:val="24"/>
        </w:rPr>
      </w:pPr>
    </w:p>
    <w:p w:rsidR="00254408" w:rsidRDefault="00254408" w:rsidP="0069191A">
      <w:pPr>
        <w:spacing w:line="360" w:lineRule="auto"/>
        <w:jc w:val="both"/>
        <w:rPr>
          <w:rStyle w:val="Cmsor2Char"/>
          <w:rFonts w:ascii="Times New Roman" w:hAnsi="Times New Roman" w:cs="Times New Roman"/>
        </w:rPr>
      </w:pPr>
    </w:p>
    <w:p w:rsidR="00254408" w:rsidRDefault="00254408" w:rsidP="0069191A">
      <w:pPr>
        <w:spacing w:line="360" w:lineRule="auto"/>
        <w:jc w:val="both"/>
        <w:rPr>
          <w:rStyle w:val="Cmsor2Char"/>
          <w:rFonts w:ascii="Times New Roman" w:hAnsi="Times New Roman" w:cs="Times New Roman"/>
        </w:rPr>
      </w:pPr>
    </w:p>
    <w:p w:rsidR="00254408" w:rsidRDefault="00254408" w:rsidP="0069191A">
      <w:pPr>
        <w:spacing w:line="360" w:lineRule="auto"/>
        <w:jc w:val="both"/>
        <w:rPr>
          <w:rStyle w:val="Cmsor2Char"/>
          <w:rFonts w:ascii="Times New Roman" w:hAnsi="Times New Roman" w:cs="Times New Roman"/>
        </w:rPr>
      </w:pPr>
    </w:p>
    <w:p w:rsidR="00254408" w:rsidRDefault="00254408" w:rsidP="0069191A">
      <w:pPr>
        <w:spacing w:line="360" w:lineRule="auto"/>
        <w:jc w:val="both"/>
        <w:rPr>
          <w:rStyle w:val="Cmsor2Char"/>
          <w:rFonts w:ascii="Times New Roman" w:hAnsi="Times New Roman" w:cs="Times New Roman"/>
        </w:rPr>
      </w:pPr>
    </w:p>
    <w:p w:rsidR="00254408" w:rsidRDefault="00254408" w:rsidP="0069191A">
      <w:pPr>
        <w:spacing w:line="360" w:lineRule="auto"/>
        <w:jc w:val="both"/>
        <w:rPr>
          <w:rStyle w:val="Cmsor2Char"/>
          <w:rFonts w:ascii="Times New Roman" w:hAnsi="Times New Roman" w:cs="Times New Roman"/>
        </w:rPr>
      </w:pPr>
    </w:p>
    <w:p w:rsidR="00254408" w:rsidRDefault="00254408" w:rsidP="0069191A">
      <w:pPr>
        <w:spacing w:line="360" w:lineRule="auto"/>
        <w:jc w:val="both"/>
        <w:rPr>
          <w:rStyle w:val="Cmsor2Char"/>
          <w:rFonts w:ascii="Times New Roman" w:hAnsi="Times New Roman" w:cs="Times New Roman"/>
        </w:rPr>
      </w:pPr>
    </w:p>
    <w:p w:rsidR="00254408" w:rsidRDefault="00254408" w:rsidP="0069191A">
      <w:pPr>
        <w:spacing w:line="360" w:lineRule="auto"/>
        <w:jc w:val="both"/>
        <w:rPr>
          <w:rStyle w:val="Cmsor2Char"/>
          <w:rFonts w:ascii="Times New Roman" w:hAnsi="Times New Roman" w:cs="Times New Roman"/>
        </w:rPr>
      </w:pPr>
    </w:p>
    <w:p w:rsidR="00254408" w:rsidRDefault="00254408" w:rsidP="0069191A">
      <w:pPr>
        <w:spacing w:line="360" w:lineRule="auto"/>
        <w:jc w:val="both"/>
        <w:rPr>
          <w:rStyle w:val="Cmsor2Char"/>
          <w:rFonts w:ascii="Times New Roman" w:hAnsi="Times New Roman" w:cs="Times New Roman"/>
        </w:rPr>
      </w:pPr>
    </w:p>
    <w:p w:rsidR="00254408" w:rsidRDefault="00254408" w:rsidP="0069191A">
      <w:pPr>
        <w:spacing w:line="360" w:lineRule="auto"/>
        <w:jc w:val="both"/>
        <w:rPr>
          <w:rStyle w:val="Cmsor2Char"/>
          <w:rFonts w:ascii="Times New Roman" w:hAnsi="Times New Roman" w:cs="Times New Roman"/>
        </w:rPr>
      </w:pPr>
    </w:p>
    <w:p w:rsidR="002351C9" w:rsidRDefault="002351C9" w:rsidP="0069191A">
      <w:pPr>
        <w:spacing w:line="360" w:lineRule="auto"/>
        <w:jc w:val="both"/>
        <w:rPr>
          <w:rStyle w:val="Cmsor2Char"/>
          <w:rFonts w:ascii="Times New Roman" w:hAnsi="Times New Roman" w:cs="Times New Roman"/>
        </w:rPr>
      </w:pPr>
    </w:p>
    <w:p w:rsidR="002351C9" w:rsidRDefault="002351C9" w:rsidP="0069191A">
      <w:pPr>
        <w:spacing w:line="360" w:lineRule="auto"/>
        <w:jc w:val="both"/>
        <w:rPr>
          <w:rStyle w:val="Cmsor2Char"/>
          <w:rFonts w:ascii="Times New Roman" w:hAnsi="Times New Roman" w:cs="Times New Roman"/>
        </w:rPr>
      </w:pPr>
    </w:p>
    <w:p w:rsidR="002351C9" w:rsidRDefault="002351C9" w:rsidP="0069191A">
      <w:pPr>
        <w:spacing w:line="360" w:lineRule="auto"/>
        <w:jc w:val="both"/>
        <w:rPr>
          <w:rStyle w:val="Cmsor2Char"/>
          <w:rFonts w:ascii="Times New Roman" w:hAnsi="Times New Roman" w:cs="Times New Roman"/>
        </w:rPr>
      </w:pPr>
    </w:p>
    <w:p w:rsidR="00413518" w:rsidRPr="00413518" w:rsidRDefault="00793BC2" w:rsidP="0069191A">
      <w:pPr>
        <w:spacing w:line="360" w:lineRule="auto"/>
        <w:jc w:val="both"/>
        <w:rPr>
          <w:rFonts w:ascii="Times New Roman" w:hAnsi="Times New Roman" w:cs="Times New Roman"/>
          <w:sz w:val="24"/>
          <w:szCs w:val="24"/>
        </w:rPr>
      </w:pPr>
      <w:bookmarkStart w:id="9" w:name="_Toc340927915"/>
      <w:r w:rsidRPr="00413518">
        <w:rPr>
          <w:rStyle w:val="Cmsor2Char"/>
          <w:rFonts w:ascii="Times New Roman" w:hAnsi="Times New Roman" w:cs="Times New Roman"/>
        </w:rPr>
        <w:lastRenderedPageBreak/>
        <w:t xml:space="preserve">III. 3. </w:t>
      </w:r>
      <w:r w:rsidR="00A5160D" w:rsidRPr="00413518">
        <w:rPr>
          <w:rStyle w:val="Cmsor2Char"/>
          <w:rFonts w:ascii="Times New Roman" w:hAnsi="Times New Roman" w:cs="Times New Roman"/>
        </w:rPr>
        <w:t xml:space="preserve">Az </w:t>
      </w:r>
      <w:r w:rsidR="00BF1E2F">
        <w:rPr>
          <w:rStyle w:val="Cmsor2Char"/>
          <w:rFonts w:ascii="Times New Roman" w:hAnsi="Times New Roman" w:cs="Times New Roman"/>
        </w:rPr>
        <w:t xml:space="preserve">energiaadó az </w:t>
      </w:r>
      <w:r w:rsidR="00A5160D" w:rsidRPr="00413518">
        <w:rPr>
          <w:rStyle w:val="Cmsor2Char"/>
          <w:rFonts w:ascii="Times New Roman" w:hAnsi="Times New Roman" w:cs="Times New Roman"/>
        </w:rPr>
        <w:t>Egyesült Királyság</w:t>
      </w:r>
      <w:r w:rsidR="00BF1E2F">
        <w:rPr>
          <w:rStyle w:val="Cmsor2Char"/>
          <w:rFonts w:ascii="Times New Roman" w:hAnsi="Times New Roman" w:cs="Times New Roman"/>
        </w:rPr>
        <w:t>ban</w:t>
      </w:r>
      <w:bookmarkEnd w:id="9"/>
      <w:r w:rsidRPr="00413518">
        <w:rPr>
          <w:rFonts w:ascii="Times New Roman" w:hAnsi="Times New Roman" w:cs="Times New Roman"/>
          <w:sz w:val="24"/>
          <w:szCs w:val="24"/>
        </w:rPr>
        <w:tab/>
      </w:r>
    </w:p>
    <w:p w:rsidR="0084490F" w:rsidRPr="00413518" w:rsidRDefault="004A1C84" w:rsidP="0069191A">
      <w:pPr>
        <w:spacing w:line="360" w:lineRule="auto"/>
        <w:jc w:val="both"/>
        <w:rPr>
          <w:rFonts w:ascii="Times New Roman" w:hAnsi="Times New Roman" w:cs="Times New Roman"/>
          <w:sz w:val="24"/>
          <w:szCs w:val="24"/>
        </w:rPr>
      </w:pPr>
      <w:r w:rsidRPr="00413518">
        <w:rPr>
          <w:rFonts w:ascii="Times New Roman" w:hAnsi="Times New Roman" w:cs="Times New Roman"/>
          <w:sz w:val="24"/>
          <w:szCs w:val="24"/>
        </w:rPr>
        <w:tab/>
        <w:t>A Skandináv országok struktúrájához képest az Egyesült Királyság energiaadó-rendszere egyszerű felépítésű.</w:t>
      </w:r>
      <w:r w:rsidR="00C32677">
        <w:rPr>
          <w:rFonts w:ascii="Times New Roman" w:hAnsi="Times New Roman" w:cs="Times New Roman"/>
          <w:sz w:val="24"/>
          <w:szCs w:val="24"/>
        </w:rPr>
        <w:t xml:space="preserve"> Ehhez képest a magyar megoldás még egyszerűbb, hiszen nálunk a 21. században jelentek meg az instrumentumok, így gyakorlati tapasztaltunk alig volt.</w:t>
      </w:r>
      <w:r w:rsidRPr="00413518">
        <w:rPr>
          <w:rFonts w:ascii="Times New Roman" w:hAnsi="Times New Roman" w:cs="Times New Roman"/>
          <w:sz w:val="24"/>
          <w:szCs w:val="24"/>
        </w:rPr>
        <w:t xml:space="preserve"> Az angol rendszer erősen támaszkodik az üzemanyagokra kivetett adóbevételekre. A skandinávokkal ellentétben itt nem beszélhetünk egy általános energiaadó-rendszerről, amely az energiahordozókra épül, mint például a földgázra, a szénre, és a villamos energiára</w:t>
      </w:r>
      <w:r w:rsidR="00460FDE">
        <w:rPr>
          <w:rFonts w:ascii="Times New Roman" w:hAnsi="Times New Roman" w:cs="Times New Roman"/>
          <w:sz w:val="24"/>
          <w:szCs w:val="24"/>
        </w:rPr>
        <w:t>.</w:t>
      </w:r>
      <w:r w:rsidR="00C32677">
        <w:rPr>
          <w:rFonts w:ascii="Times New Roman" w:hAnsi="Times New Roman" w:cs="Times New Roman"/>
          <w:sz w:val="24"/>
          <w:szCs w:val="24"/>
        </w:rPr>
        <w:t xml:space="preserve"> A környezetvédelmi adók struktúrája alapvetően megfelel az EU-s felosztásnak, d</w:t>
      </w:r>
      <w:r w:rsidR="00E23F1B">
        <w:rPr>
          <w:rFonts w:ascii="Times New Roman" w:hAnsi="Times New Roman" w:cs="Times New Roman"/>
          <w:sz w:val="24"/>
          <w:szCs w:val="24"/>
        </w:rPr>
        <w:t>e az alcsoportok beosztása nem.</w:t>
      </w:r>
      <w:r w:rsidRPr="00413518">
        <w:rPr>
          <w:rFonts w:ascii="Times New Roman" w:hAnsi="Times New Roman" w:cs="Times New Roman"/>
          <w:sz w:val="24"/>
          <w:szCs w:val="24"/>
        </w:rPr>
        <w:tab/>
      </w:r>
    </w:p>
    <w:p w:rsidR="0084490F" w:rsidRPr="00413518" w:rsidRDefault="002A5FB5" w:rsidP="0069191A">
      <w:pPr>
        <w:spacing w:line="360" w:lineRule="auto"/>
        <w:jc w:val="both"/>
        <w:rPr>
          <w:rStyle w:val="Kiemels"/>
          <w:rFonts w:ascii="Times New Roman" w:hAnsi="Times New Roman" w:cs="Times New Roman"/>
        </w:rPr>
      </w:pPr>
      <w:r>
        <w:rPr>
          <w:rStyle w:val="Kiemels"/>
          <w:rFonts w:ascii="Times New Roman" w:hAnsi="Times New Roman" w:cs="Times New Roman"/>
        </w:rPr>
        <w:t>5</w:t>
      </w:r>
      <w:r w:rsidR="00793BC2" w:rsidRPr="00413518">
        <w:rPr>
          <w:rStyle w:val="Kiemels"/>
          <w:rFonts w:ascii="Times New Roman" w:hAnsi="Times New Roman" w:cs="Times New Roman"/>
        </w:rPr>
        <w:t>.Ábra</w:t>
      </w:r>
      <w:r w:rsidR="0084490F" w:rsidRPr="00413518">
        <w:rPr>
          <w:rStyle w:val="Kiemels"/>
          <w:rFonts w:ascii="Times New Roman" w:hAnsi="Times New Roman" w:cs="Times New Roman"/>
        </w:rPr>
        <w:t>: Az angol környezetvédelmi adók és bennük az energiaadó</w:t>
      </w:r>
      <w:r w:rsidR="00C32677">
        <w:rPr>
          <w:rStyle w:val="Kiemels"/>
          <w:rFonts w:ascii="Times New Roman" w:hAnsi="Times New Roman" w:cs="Times New Roman"/>
        </w:rPr>
        <w:t>-</w:t>
      </w:r>
      <w:r w:rsidR="0084490F" w:rsidRPr="00413518">
        <w:rPr>
          <w:rStyle w:val="Kiemels"/>
          <w:rFonts w:ascii="Times New Roman" w:hAnsi="Times New Roman" w:cs="Times New Roman"/>
        </w:rPr>
        <w:t>rendszer</w:t>
      </w:r>
      <w:r w:rsidR="0084490F" w:rsidRPr="00413518">
        <w:rPr>
          <w:rStyle w:val="Kiemels"/>
          <w:rFonts w:ascii="Times New Roman" w:hAnsi="Times New Roman" w:cs="Times New Roman"/>
        </w:rPr>
        <w:tab/>
      </w:r>
      <w:r w:rsidR="00CB0E0C" w:rsidRPr="00413518">
        <w:rPr>
          <w:rStyle w:val="Kiemels"/>
          <w:rFonts w:ascii="Times New Roman" w:hAnsi="Times New Roman" w:cs="Times New Roman"/>
        </w:rPr>
        <w:tab/>
      </w:r>
    </w:p>
    <w:p w:rsidR="00254408" w:rsidRDefault="0084490F" w:rsidP="0069191A">
      <w:pPr>
        <w:spacing w:line="360" w:lineRule="auto"/>
        <w:jc w:val="both"/>
        <w:rPr>
          <w:rFonts w:ascii="Times New Roman" w:hAnsi="Times New Roman" w:cs="Times New Roman"/>
          <w:sz w:val="24"/>
          <w:szCs w:val="24"/>
        </w:rPr>
      </w:pPr>
      <w:r w:rsidRPr="00413518">
        <w:rPr>
          <w:rFonts w:ascii="Times New Roman" w:hAnsi="Times New Roman" w:cs="Times New Roman"/>
          <w:noProof/>
          <w:sz w:val="24"/>
          <w:szCs w:val="24"/>
        </w:rPr>
        <w:drawing>
          <wp:inline distT="0" distB="0" distL="0" distR="0">
            <wp:extent cx="5486400" cy="3200400"/>
            <wp:effectExtent l="38100" t="0" r="38100" b="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rsidR="00BC2DD3" w:rsidRPr="00413518" w:rsidRDefault="00254408" w:rsidP="0069191A">
      <w:pPr>
        <w:spacing w:line="360" w:lineRule="auto"/>
        <w:jc w:val="both"/>
        <w:rPr>
          <w:rFonts w:ascii="Times New Roman" w:hAnsi="Times New Roman" w:cs="Times New Roman"/>
          <w:sz w:val="24"/>
          <w:szCs w:val="24"/>
        </w:rPr>
      </w:pP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t xml:space="preserve">Forrás: </w:t>
      </w:r>
      <w:r>
        <w:rPr>
          <w:rFonts w:ascii="Times New Roman" w:hAnsi="Times New Roman" w:cs="Times New Roman"/>
          <w:sz w:val="24"/>
          <w:szCs w:val="24"/>
        </w:rPr>
        <w:t>saját szerkesztés</w:t>
      </w:r>
      <w:r>
        <w:rPr>
          <w:rFonts w:ascii="Times New Roman" w:hAnsi="Times New Roman" w:cs="Times New Roman"/>
          <w:sz w:val="24"/>
          <w:szCs w:val="24"/>
        </w:rPr>
        <w:tab/>
      </w:r>
      <w:r w:rsidR="00CB0E0C" w:rsidRPr="00413518">
        <w:rPr>
          <w:rFonts w:ascii="Times New Roman" w:hAnsi="Times New Roman" w:cs="Times New Roman"/>
          <w:sz w:val="24"/>
          <w:szCs w:val="24"/>
        </w:rPr>
        <w:br/>
      </w:r>
      <w:r w:rsidR="004A1C84" w:rsidRPr="00413518">
        <w:rPr>
          <w:rFonts w:ascii="Times New Roman" w:hAnsi="Times New Roman" w:cs="Times New Roman"/>
          <w:sz w:val="24"/>
          <w:szCs w:val="24"/>
        </w:rPr>
        <w:br/>
      </w:r>
      <w:r w:rsidR="004A1C84" w:rsidRPr="00413518">
        <w:rPr>
          <w:rFonts w:ascii="Times New Roman" w:hAnsi="Times New Roman" w:cs="Times New Roman"/>
          <w:sz w:val="24"/>
          <w:szCs w:val="24"/>
        </w:rPr>
        <w:tab/>
      </w:r>
      <w:r w:rsidR="00F43098" w:rsidRPr="00413518">
        <w:rPr>
          <w:rFonts w:ascii="Times New Roman" w:hAnsi="Times New Roman" w:cs="Times New Roman"/>
          <w:sz w:val="24"/>
          <w:szCs w:val="24"/>
        </w:rPr>
        <w:t>Angliában is régóta léteznek a környezetvédelmét szolgáló adónemek, ezek közül az első</w:t>
      </w:r>
      <w:r w:rsidR="00F43098" w:rsidRPr="00413518">
        <w:rPr>
          <w:rStyle w:val="Lbjegyzet-hivatkozs"/>
          <w:sz w:val="24"/>
          <w:szCs w:val="24"/>
        </w:rPr>
        <w:footnoteReference w:id="145"/>
      </w:r>
      <w:r w:rsidR="00F43098" w:rsidRPr="00413518">
        <w:rPr>
          <w:rFonts w:ascii="Times New Roman" w:hAnsi="Times New Roman" w:cs="Times New Roman"/>
          <w:sz w:val="24"/>
          <w:szCs w:val="24"/>
        </w:rPr>
        <w:t xml:space="preserve"> és jelenleg is hatályban lévő </w:t>
      </w:r>
      <w:r w:rsidR="00F43098" w:rsidRPr="00413518">
        <w:rPr>
          <w:rFonts w:ascii="Times New Roman" w:hAnsi="Times New Roman" w:cs="Times New Roman"/>
          <w:i/>
          <w:sz w:val="24"/>
          <w:szCs w:val="24"/>
        </w:rPr>
        <w:t>szénhidrogén adó.</w:t>
      </w:r>
      <w:r w:rsidR="00F43098" w:rsidRPr="00413518">
        <w:rPr>
          <w:rFonts w:ascii="Times New Roman" w:hAnsi="Times New Roman" w:cs="Times New Roman"/>
          <w:sz w:val="24"/>
          <w:szCs w:val="24"/>
        </w:rPr>
        <w:t xml:space="preserve"> 1915-re az adómértékét megduplázták.</w:t>
      </w:r>
      <w:r w:rsidR="00F43098" w:rsidRPr="00413518">
        <w:rPr>
          <w:rStyle w:val="Lbjegyzet-hivatkozs"/>
          <w:sz w:val="24"/>
          <w:szCs w:val="24"/>
        </w:rPr>
        <w:footnoteReference w:id="146"/>
      </w:r>
      <w:r w:rsidR="00B42EE1" w:rsidRPr="00413518">
        <w:rPr>
          <w:rFonts w:ascii="Times New Roman" w:hAnsi="Times New Roman" w:cs="Times New Roman"/>
          <w:sz w:val="24"/>
          <w:szCs w:val="24"/>
        </w:rPr>
        <w:t xml:space="preserve"> A költségvetés </w:t>
      </w:r>
      <w:r w:rsidR="00C32677">
        <w:rPr>
          <w:rFonts w:ascii="Times New Roman" w:hAnsi="Times New Roman" w:cs="Times New Roman"/>
          <w:sz w:val="24"/>
          <w:szCs w:val="24"/>
        </w:rPr>
        <w:t xml:space="preserve">1928-ban, majd </w:t>
      </w:r>
      <w:r w:rsidR="00B42EE1" w:rsidRPr="00413518">
        <w:rPr>
          <w:rFonts w:ascii="Times New Roman" w:hAnsi="Times New Roman" w:cs="Times New Roman"/>
          <w:sz w:val="24"/>
          <w:szCs w:val="24"/>
        </w:rPr>
        <w:t>1993-ban emelte a mértéket, és átnevezte „</w:t>
      </w:r>
      <w:r w:rsidR="00B42EE1" w:rsidRPr="00413518">
        <w:rPr>
          <w:rFonts w:ascii="Times New Roman" w:hAnsi="Times New Roman" w:cs="Times New Roman"/>
          <w:i/>
          <w:sz w:val="24"/>
          <w:szCs w:val="24"/>
        </w:rPr>
        <w:t>fuel duty escalator”</w:t>
      </w:r>
      <w:r w:rsidR="00B42EE1" w:rsidRPr="00413518">
        <w:rPr>
          <w:rStyle w:val="Lbjegyzet-hivatkozs"/>
          <w:i/>
          <w:sz w:val="24"/>
          <w:szCs w:val="24"/>
        </w:rPr>
        <w:footnoteReference w:id="147"/>
      </w:r>
      <w:r w:rsidR="00B42EE1" w:rsidRPr="00413518">
        <w:rPr>
          <w:rFonts w:ascii="Times New Roman" w:hAnsi="Times New Roman" w:cs="Times New Roman"/>
          <w:sz w:val="24"/>
          <w:szCs w:val="24"/>
        </w:rPr>
        <w:t xml:space="preserve">-rá az adót. Minden évben növelték az adómértékét az inflációra hivatkozva. Az adóalapját a következő szénhidrogének jelentik: benzin, dízel, a </w:t>
      </w:r>
      <w:r w:rsidR="00B42EE1" w:rsidRPr="00413518">
        <w:rPr>
          <w:rFonts w:ascii="Times New Roman" w:hAnsi="Times New Roman" w:cs="Times New Roman"/>
          <w:sz w:val="24"/>
          <w:szCs w:val="24"/>
        </w:rPr>
        <w:lastRenderedPageBreak/>
        <w:t>légiközlekedésben felhasznált benzin, a közúti közlekedésben felhasznált üzemanyagok, a nehézolajok és a bioetanol.</w:t>
      </w:r>
      <w:r w:rsidR="00B42EE1" w:rsidRPr="00413518">
        <w:rPr>
          <w:rStyle w:val="Lbjegyzet-hivatkozs"/>
          <w:sz w:val="24"/>
          <w:szCs w:val="24"/>
        </w:rPr>
        <w:footnoteReference w:id="148"/>
      </w:r>
      <w:r w:rsidR="00B42EE1" w:rsidRPr="00413518">
        <w:rPr>
          <w:rFonts w:ascii="Times New Roman" w:hAnsi="Times New Roman" w:cs="Times New Roman"/>
          <w:sz w:val="24"/>
          <w:szCs w:val="24"/>
        </w:rPr>
        <w:t xml:space="preserve"> A rendszer ismeri az adómentességet azon szénhidrogének vonatkozásában, amelyeket nem motorikus használatra alkalmaznak</w:t>
      </w:r>
      <w:r w:rsidR="000B23CC">
        <w:rPr>
          <w:rFonts w:ascii="Times New Roman" w:hAnsi="Times New Roman" w:cs="Times New Roman"/>
          <w:sz w:val="24"/>
          <w:szCs w:val="24"/>
        </w:rPr>
        <w:t>.</w:t>
      </w:r>
      <w:r w:rsidR="00B42EE1" w:rsidRPr="00413518">
        <w:rPr>
          <w:rStyle w:val="Lbjegyzet-hivatkozs"/>
          <w:sz w:val="24"/>
          <w:szCs w:val="24"/>
        </w:rPr>
        <w:footnoteReference w:id="149"/>
      </w:r>
      <w:r w:rsidR="000B23CC">
        <w:rPr>
          <w:rFonts w:ascii="Times New Roman" w:hAnsi="Times New Roman" w:cs="Times New Roman"/>
          <w:sz w:val="24"/>
          <w:szCs w:val="24"/>
        </w:rPr>
        <w:tab/>
      </w:r>
      <w:r w:rsidR="00F43098" w:rsidRPr="00413518">
        <w:rPr>
          <w:rFonts w:ascii="Times New Roman" w:hAnsi="Times New Roman" w:cs="Times New Roman"/>
          <w:sz w:val="24"/>
          <w:szCs w:val="24"/>
        </w:rPr>
        <w:br/>
      </w:r>
      <w:r w:rsidR="00F43098" w:rsidRPr="00413518">
        <w:rPr>
          <w:rFonts w:ascii="Times New Roman" w:hAnsi="Times New Roman" w:cs="Times New Roman"/>
          <w:sz w:val="24"/>
          <w:szCs w:val="24"/>
        </w:rPr>
        <w:tab/>
      </w:r>
      <w:r w:rsidR="004A1C84" w:rsidRPr="00413518">
        <w:rPr>
          <w:rFonts w:ascii="Times New Roman" w:hAnsi="Times New Roman" w:cs="Times New Roman"/>
          <w:sz w:val="24"/>
          <w:szCs w:val="24"/>
        </w:rPr>
        <w:t xml:space="preserve">Az angol kormányzat 1990-ben vezetette be az ún. </w:t>
      </w:r>
      <w:r w:rsidR="004A1C84" w:rsidRPr="00413518">
        <w:rPr>
          <w:rFonts w:ascii="Times New Roman" w:hAnsi="Times New Roman" w:cs="Times New Roman"/>
          <w:i/>
          <w:sz w:val="24"/>
          <w:szCs w:val="24"/>
        </w:rPr>
        <w:t>Fossil Fuel Levy</w:t>
      </w:r>
      <w:r w:rsidR="0036604A" w:rsidRPr="00413518">
        <w:rPr>
          <w:rStyle w:val="Lbjegyzet-hivatkozs"/>
          <w:i/>
          <w:sz w:val="24"/>
          <w:szCs w:val="24"/>
        </w:rPr>
        <w:footnoteReference w:id="150"/>
      </w:r>
      <w:r w:rsidR="004A1C84" w:rsidRPr="00413518">
        <w:rPr>
          <w:rFonts w:ascii="Times New Roman" w:hAnsi="Times New Roman" w:cs="Times New Roman"/>
          <w:i/>
          <w:sz w:val="24"/>
          <w:szCs w:val="24"/>
        </w:rPr>
        <w:t xml:space="preserve"> (FFL)</w:t>
      </w:r>
      <w:r w:rsidR="004A1C84" w:rsidRPr="00413518">
        <w:rPr>
          <w:rFonts w:ascii="Times New Roman" w:hAnsi="Times New Roman" w:cs="Times New Roman"/>
          <w:sz w:val="24"/>
          <w:szCs w:val="24"/>
        </w:rPr>
        <w:t xml:space="preserve"> rendszert, amely alanyi hatályát tekintve minden</w:t>
      </w:r>
      <w:r w:rsidR="00924D2E" w:rsidRPr="00413518">
        <w:rPr>
          <w:rStyle w:val="Lbjegyzet-hivatkozs"/>
          <w:sz w:val="24"/>
          <w:szCs w:val="24"/>
        </w:rPr>
        <w:footnoteReference w:id="151"/>
      </w:r>
      <w:r w:rsidR="004A1C84" w:rsidRPr="00413518">
        <w:rPr>
          <w:rFonts w:ascii="Times New Roman" w:hAnsi="Times New Roman" w:cs="Times New Roman"/>
          <w:sz w:val="24"/>
          <w:szCs w:val="24"/>
        </w:rPr>
        <w:t xml:space="preserve"> fogyasztóra kiterjed, tárgy</w:t>
      </w:r>
      <w:r w:rsidR="00C32677">
        <w:rPr>
          <w:rFonts w:ascii="Times New Roman" w:hAnsi="Times New Roman" w:cs="Times New Roman"/>
          <w:sz w:val="24"/>
          <w:szCs w:val="24"/>
        </w:rPr>
        <w:t>a a villamos energia</w:t>
      </w:r>
      <w:r w:rsidR="004A1C84" w:rsidRPr="00413518">
        <w:rPr>
          <w:rFonts w:ascii="Times New Roman" w:hAnsi="Times New Roman" w:cs="Times New Roman"/>
          <w:sz w:val="24"/>
          <w:szCs w:val="24"/>
        </w:rPr>
        <w:t>.</w:t>
      </w:r>
      <w:r w:rsidR="004A1C84" w:rsidRPr="00413518">
        <w:rPr>
          <w:rStyle w:val="Lbjegyzet-hivatkozs"/>
          <w:sz w:val="24"/>
          <w:szCs w:val="24"/>
        </w:rPr>
        <w:footnoteReference w:id="152"/>
      </w:r>
      <w:r w:rsidR="004A1C84" w:rsidRPr="00413518">
        <w:rPr>
          <w:rFonts w:ascii="Times New Roman" w:hAnsi="Times New Roman" w:cs="Times New Roman"/>
          <w:sz w:val="24"/>
          <w:szCs w:val="24"/>
        </w:rPr>
        <w:t xml:space="preserve"> </w:t>
      </w:r>
      <w:r w:rsidR="00924D2E" w:rsidRPr="00413518">
        <w:rPr>
          <w:rFonts w:ascii="Times New Roman" w:hAnsi="Times New Roman" w:cs="Times New Roman"/>
          <w:sz w:val="24"/>
          <w:szCs w:val="24"/>
        </w:rPr>
        <w:t>Az új adónem célja a megújuló energiaforrásokból történő villamos energia előállítás támogatása volt.</w:t>
      </w:r>
      <w:r w:rsidR="00924D2E" w:rsidRPr="00413518">
        <w:rPr>
          <w:rStyle w:val="Lbjegyzet-hivatkozs"/>
          <w:sz w:val="24"/>
          <w:szCs w:val="24"/>
        </w:rPr>
        <w:footnoteReference w:id="153"/>
      </w:r>
      <w:r w:rsidR="00924D2E" w:rsidRPr="00413518">
        <w:rPr>
          <w:rFonts w:ascii="Times New Roman" w:hAnsi="Times New Roman" w:cs="Times New Roman"/>
          <w:sz w:val="24"/>
          <w:szCs w:val="24"/>
        </w:rPr>
        <w:t xml:space="preserve"> </w:t>
      </w:r>
      <w:r w:rsidR="004A1C84" w:rsidRPr="00413518">
        <w:rPr>
          <w:rFonts w:ascii="Times New Roman" w:hAnsi="Times New Roman" w:cs="Times New Roman"/>
          <w:sz w:val="24"/>
          <w:szCs w:val="24"/>
        </w:rPr>
        <w:t>Az adót értékarányos adóként vezették be, amely hasonlóságot mutat az 1990-es évek eleji ném</w:t>
      </w:r>
      <w:r w:rsidR="00C32677">
        <w:rPr>
          <w:rFonts w:ascii="Times New Roman" w:hAnsi="Times New Roman" w:cs="Times New Roman"/>
          <w:sz w:val="24"/>
          <w:szCs w:val="24"/>
        </w:rPr>
        <w:t>et villamos-energiaadó rendszer</w:t>
      </w:r>
      <w:r w:rsidR="004A1C84" w:rsidRPr="00413518">
        <w:rPr>
          <w:rFonts w:ascii="Times New Roman" w:hAnsi="Times New Roman" w:cs="Times New Roman"/>
          <w:sz w:val="24"/>
          <w:szCs w:val="24"/>
        </w:rPr>
        <w:t>hez képest. Kezdetben</w:t>
      </w:r>
      <w:r w:rsidR="0036604A" w:rsidRPr="00413518">
        <w:rPr>
          <w:rFonts w:ascii="Times New Roman" w:hAnsi="Times New Roman" w:cs="Times New Roman"/>
          <w:sz w:val="24"/>
          <w:szCs w:val="24"/>
        </w:rPr>
        <w:t xml:space="preserve"> az FFL-ből származó bevételek</w:t>
      </w:r>
      <w:r w:rsidR="004A1C84" w:rsidRPr="00413518">
        <w:rPr>
          <w:rFonts w:ascii="Times New Roman" w:hAnsi="Times New Roman" w:cs="Times New Roman"/>
          <w:sz w:val="24"/>
          <w:szCs w:val="24"/>
        </w:rPr>
        <w:t xml:space="preserve"> </w:t>
      </w:r>
      <w:r w:rsidR="0036604A" w:rsidRPr="00413518">
        <w:rPr>
          <w:rFonts w:ascii="Times New Roman" w:hAnsi="Times New Roman" w:cs="Times New Roman"/>
          <w:sz w:val="24"/>
          <w:szCs w:val="24"/>
        </w:rPr>
        <w:t xml:space="preserve">legnagyobb részét a nukleáris energia, míg a kisebb részét a megújuló energiák támogatására használták fel. </w:t>
      </w:r>
      <w:r w:rsidR="0036604A" w:rsidRPr="00413518">
        <w:rPr>
          <w:rStyle w:val="Lbjegyzet-hivatkozs"/>
          <w:sz w:val="24"/>
          <w:szCs w:val="24"/>
        </w:rPr>
        <w:footnoteReference w:id="154"/>
      </w:r>
      <w:r w:rsidR="0036604A" w:rsidRPr="00413518">
        <w:rPr>
          <w:rFonts w:ascii="Times New Roman" w:hAnsi="Times New Roman" w:cs="Times New Roman"/>
          <w:sz w:val="24"/>
          <w:szCs w:val="24"/>
        </w:rPr>
        <w:t xml:space="preserve"> 1998-at követően azonban a nukleáris energia nem részesült az FFL bevételekből származó támogatásokból. Ehelyett a megújuló energiákat kezdték el támogatni az FFL forrásokból.</w:t>
      </w:r>
      <w:r w:rsidR="008D2B02">
        <w:rPr>
          <w:rFonts w:ascii="Times New Roman" w:hAnsi="Times New Roman" w:cs="Times New Roman"/>
          <w:sz w:val="24"/>
          <w:szCs w:val="24"/>
        </w:rPr>
        <w:t xml:space="preserve"> </w:t>
      </w:r>
      <w:r w:rsidR="0036604A" w:rsidRPr="00413518">
        <w:rPr>
          <w:rFonts w:ascii="Times New Roman" w:hAnsi="Times New Roman" w:cs="Times New Roman"/>
          <w:sz w:val="24"/>
          <w:szCs w:val="24"/>
        </w:rPr>
        <w:t xml:space="preserve">Az adó 1992-ben </w:t>
      </w:r>
      <w:r w:rsidR="0036604A" w:rsidRPr="000B23CC">
        <w:rPr>
          <w:rFonts w:ascii="Times New Roman" w:hAnsi="Times New Roman" w:cs="Times New Roman"/>
          <w:sz w:val="24"/>
          <w:szCs w:val="24"/>
        </w:rPr>
        <w:t>tetőzött</w:t>
      </w:r>
      <w:r w:rsidR="0036604A" w:rsidRPr="00413518">
        <w:rPr>
          <w:rStyle w:val="Lbjegyzet-hivatkozs"/>
          <w:sz w:val="24"/>
          <w:szCs w:val="24"/>
        </w:rPr>
        <w:footnoteReference w:id="155"/>
      </w:r>
      <w:r w:rsidR="0036604A" w:rsidRPr="00413518">
        <w:rPr>
          <w:rFonts w:ascii="Times New Roman" w:hAnsi="Times New Roman" w:cs="Times New Roman"/>
          <w:sz w:val="24"/>
          <w:szCs w:val="24"/>
        </w:rPr>
        <w:t>, 2003-ban pedig nulla</w:t>
      </w:r>
      <w:r w:rsidR="00924D2E" w:rsidRPr="00413518">
        <w:rPr>
          <w:rStyle w:val="Lbjegyzet-hivatkozs"/>
          <w:sz w:val="24"/>
          <w:szCs w:val="24"/>
        </w:rPr>
        <w:footnoteReference w:id="156"/>
      </w:r>
      <w:r w:rsidR="0036604A" w:rsidRPr="00413518">
        <w:rPr>
          <w:rFonts w:ascii="Times New Roman" w:hAnsi="Times New Roman" w:cs="Times New Roman"/>
          <w:sz w:val="24"/>
          <w:szCs w:val="24"/>
        </w:rPr>
        <w:t xml:space="preserve"> volt.</w:t>
      </w:r>
      <w:r w:rsidR="0036604A" w:rsidRPr="00413518">
        <w:rPr>
          <w:rStyle w:val="Lbjegyzet-hivatkozs"/>
          <w:sz w:val="24"/>
          <w:szCs w:val="24"/>
        </w:rPr>
        <w:footnoteReference w:id="157"/>
      </w:r>
      <w:r w:rsidR="0036604A" w:rsidRPr="00413518">
        <w:rPr>
          <w:rFonts w:ascii="Times New Roman" w:hAnsi="Times New Roman" w:cs="Times New Roman"/>
          <w:sz w:val="24"/>
          <w:szCs w:val="24"/>
        </w:rPr>
        <w:t xml:space="preserve"> A nulla érték jelenleg is létezik</w:t>
      </w:r>
      <w:r w:rsidR="00C70284" w:rsidRPr="00413518">
        <w:rPr>
          <w:rStyle w:val="Lbjegyzet-hivatkozs"/>
          <w:sz w:val="24"/>
          <w:szCs w:val="24"/>
        </w:rPr>
        <w:footnoteReference w:id="158"/>
      </w:r>
      <w:r w:rsidR="0036604A" w:rsidRPr="00413518">
        <w:rPr>
          <w:rFonts w:ascii="Times New Roman" w:hAnsi="Times New Roman" w:cs="Times New Roman"/>
          <w:sz w:val="24"/>
          <w:szCs w:val="24"/>
        </w:rPr>
        <w:t>, és ennek eredményeként az FFL rendszert még nem törölték el.</w:t>
      </w:r>
      <w:r w:rsidR="0036604A" w:rsidRPr="00413518">
        <w:rPr>
          <w:rStyle w:val="Lbjegyzet-hivatkozs"/>
          <w:sz w:val="24"/>
          <w:szCs w:val="24"/>
        </w:rPr>
        <w:footnoteReference w:id="159"/>
      </w:r>
      <w:r w:rsidR="000B23CC">
        <w:rPr>
          <w:rFonts w:ascii="Times New Roman" w:hAnsi="Times New Roman" w:cs="Times New Roman"/>
          <w:sz w:val="24"/>
          <w:szCs w:val="24"/>
        </w:rPr>
        <w:tab/>
      </w:r>
      <w:r w:rsidR="000B23CC">
        <w:rPr>
          <w:rFonts w:ascii="Times New Roman" w:hAnsi="Times New Roman" w:cs="Times New Roman"/>
          <w:sz w:val="24"/>
          <w:szCs w:val="24"/>
        </w:rPr>
        <w:br/>
      </w:r>
      <w:r w:rsidR="000B23CC">
        <w:rPr>
          <w:rFonts w:ascii="Times New Roman" w:hAnsi="Times New Roman" w:cs="Times New Roman"/>
          <w:sz w:val="24"/>
          <w:szCs w:val="24"/>
        </w:rPr>
        <w:tab/>
      </w:r>
      <w:r w:rsidR="0036604A" w:rsidRPr="00413518">
        <w:rPr>
          <w:rFonts w:ascii="Times New Roman" w:hAnsi="Times New Roman" w:cs="Times New Roman"/>
          <w:sz w:val="24"/>
          <w:szCs w:val="24"/>
        </w:rPr>
        <w:t>2001-ben vezette be a kormány, mint új gazdasági eszközt</w:t>
      </w:r>
      <w:r w:rsidR="0055345C" w:rsidRPr="00413518">
        <w:rPr>
          <w:rStyle w:val="Lbjegyzet-hivatkozs"/>
          <w:sz w:val="24"/>
          <w:szCs w:val="24"/>
        </w:rPr>
        <w:footnoteReference w:id="160"/>
      </w:r>
      <w:r w:rsidR="0036604A" w:rsidRPr="00413518">
        <w:rPr>
          <w:rFonts w:ascii="Times New Roman" w:hAnsi="Times New Roman" w:cs="Times New Roman"/>
          <w:sz w:val="24"/>
          <w:szCs w:val="24"/>
        </w:rPr>
        <w:t xml:space="preserve">, a </w:t>
      </w:r>
      <w:r w:rsidR="0036604A" w:rsidRPr="00413518">
        <w:rPr>
          <w:rFonts w:ascii="Times New Roman" w:hAnsi="Times New Roman" w:cs="Times New Roman"/>
          <w:i/>
          <w:sz w:val="24"/>
          <w:szCs w:val="24"/>
        </w:rPr>
        <w:t>Climate Change Levy</w:t>
      </w:r>
      <w:r w:rsidR="0036604A" w:rsidRPr="00413518">
        <w:rPr>
          <w:rStyle w:val="Lbjegyzet-hivatkozs"/>
          <w:i/>
          <w:sz w:val="24"/>
          <w:szCs w:val="24"/>
        </w:rPr>
        <w:footnoteReference w:id="161"/>
      </w:r>
      <w:r w:rsidR="0036604A" w:rsidRPr="00413518">
        <w:rPr>
          <w:rFonts w:ascii="Times New Roman" w:hAnsi="Times New Roman" w:cs="Times New Roman"/>
          <w:sz w:val="24"/>
          <w:szCs w:val="24"/>
        </w:rPr>
        <w:t>-t (</w:t>
      </w:r>
      <w:r w:rsidR="0036604A" w:rsidRPr="00413518">
        <w:rPr>
          <w:rFonts w:ascii="Times New Roman" w:hAnsi="Times New Roman" w:cs="Times New Roman"/>
          <w:i/>
          <w:sz w:val="24"/>
          <w:szCs w:val="24"/>
        </w:rPr>
        <w:t>CCL</w:t>
      </w:r>
      <w:r w:rsidR="0036604A" w:rsidRPr="00413518">
        <w:rPr>
          <w:rFonts w:ascii="Times New Roman" w:hAnsi="Times New Roman" w:cs="Times New Roman"/>
          <w:sz w:val="24"/>
          <w:szCs w:val="24"/>
        </w:rPr>
        <w:t>).</w:t>
      </w:r>
      <w:r w:rsidR="000B23CC">
        <w:rPr>
          <w:rFonts w:ascii="Times New Roman" w:hAnsi="Times New Roman" w:cs="Times New Roman"/>
          <w:sz w:val="24"/>
          <w:szCs w:val="24"/>
        </w:rPr>
        <w:t xml:space="preserve"> </w:t>
      </w:r>
      <w:r w:rsidR="00C70284" w:rsidRPr="00413518">
        <w:rPr>
          <w:rFonts w:ascii="Times New Roman" w:hAnsi="Times New Roman" w:cs="Times New Roman"/>
          <w:sz w:val="24"/>
          <w:szCs w:val="24"/>
        </w:rPr>
        <w:t>A CCL-t a nem háztartási energiafelhasználásra, így kereskedelmi és ipari felhasználására alkalmazzák</w:t>
      </w:r>
      <w:r w:rsidR="0011247F" w:rsidRPr="00413518">
        <w:rPr>
          <w:rStyle w:val="Lbjegyzet-hivatkozs"/>
          <w:sz w:val="24"/>
          <w:szCs w:val="24"/>
        </w:rPr>
        <w:footnoteReference w:id="162"/>
      </w:r>
      <w:r w:rsidR="00C70284" w:rsidRPr="00413518">
        <w:rPr>
          <w:rFonts w:ascii="Times New Roman" w:hAnsi="Times New Roman" w:cs="Times New Roman"/>
          <w:sz w:val="24"/>
          <w:szCs w:val="24"/>
        </w:rPr>
        <w:t xml:space="preserve">, </w:t>
      </w:r>
      <w:r w:rsidR="00C32677">
        <w:rPr>
          <w:rFonts w:ascii="Times New Roman" w:hAnsi="Times New Roman" w:cs="Times New Roman"/>
          <w:sz w:val="24"/>
          <w:szCs w:val="24"/>
        </w:rPr>
        <w:t>vagyis</w:t>
      </w:r>
      <w:r w:rsidR="00C70284" w:rsidRPr="00413518">
        <w:rPr>
          <w:rFonts w:ascii="Times New Roman" w:hAnsi="Times New Roman" w:cs="Times New Roman"/>
          <w:sz w:val="24"/>
          <w:szCs w:val="24"/>
        </w:rPr>
        <w:t xml:space="preserve"> a háztartási felhasználás</w:t>
      </w:r>
      <w:r w:rsidR="0011247F" w:rsidRPr="00413518">
        <w:rPr>
          <w:rFonts w:ascii="Times New Roman" w:hAnsi="Times New Roman" w:cs="Times New Roman"/>
          <w:sz w:val="24"/>
          <w:szCs w:val="24"/>
        </w:rPr>
        <w:t>ra</w:t>
      </w:r>
      <w:r w:rsidR="00F43098" w:rsidRPr="00413518">
        <w:rPr>
          <w:rStyle w:val="Lbjegyzet-hivatkozs"/>
          <w:sz w:val="24"/>
          <w:szCs w:val="24"/>
        </w:rPr>
        <w:footnoteReference w:id="163"/>
      </w:r>
      <w:r w:rsidR="0011247F" w:rsidRPr="00413518">
        <w:rPr>
          <w:rFonts w:ascii="Times New Roman" w:hAnsi="Times New Roman" w:cs="Times New Roman"/>
          <w:sz w:val="24"/>
          <w:szCs w:val="24"/>
        </w:rPr>
        <w:t>nem vonatkozik az adó.</w:t>
      </w:r>
      <w:r w:rsidR="00C70284" w:rsidRPr="00413518">
        <w:rPr>
          <w:rStyle w:val="Lbjegyzet-hivatkozs"/>
          <w:sz w:val="24"/>
          <w:szCs w:val="24"/>
        </w:rPr>
        <w:footnoteReference w:id="164"/>
      </w:r>
      <w:r w:rsidR="00C70284" w:rsidRPr="00413518">
        <w:rPr>
          <w:rFonts w:ascii="Times New Roman" w:hAnsi="Times New Roman" w:cs="Times New Roman"/>
          <w:sz w:val="24"/>
          <w:szCs w:val="24"/>
        </w:rPr>
        <w:t xml:space="preserve"> </w:t>
      </w:r>
      <w:r w:rsidR="00924D2E" w:rsidRPr="00413518">
        <w:rPr>
          <w:rFonts w:ascii="Times New Roman" w:hAnsi="Times New Roman" w:cs="Times New Roman"/>
          <w:sz w:val="24"/>
          <w:szCs w:val="24"/>
        </w:rPr>
        <w:t xml:space="preserve">A </w:t>
      </w:r>
      <w:r w:rsidR="00C32677">
        <w:rPr>
          <w:rFonts w:ascii="Times New Roman" w:hAnsi="Times New Roman" w:cs="Times New Roman"/>
          <w:sz w:val="24"/>
          <w:szCs w:val="24"/>
        </w:rPr>
        <w:t>célja</w:t>
      </w:r>
      <w:r w:rsidR="00924D2E" w:rsidRPr="00413518">
        <w:rPr>
          <w:rFonts w:ascii="Times New Roman" w:hAnsi="Times New Roman" w:cs="Times New Roman"/>
          <w:sz w:val="24"/>
          <w:szCs w:val="24"/>
        </w:rPr>
        <w:t xml:space="preserve"> a vállalatok </w:t>
      </w:r>
      <w:r w:rsidR="00C32677">
        <w:rPr>
          <w:rFonts w:ascii="Times New Roman" w:hAnsi="Times New Roman" w:cs="Times New Roman"/>
          <w:sz w:val="24"/>
          <w:szCs w:val="24"/>
        </w:rPr>
        <w:t>ösztön</w:t>
      </w:r>
      <w:r w:rsidR="00924D2E" w:rsidRPr="00413518">
        <w:rPr>
          <w:rFonts w:ascii="Times New Roman" w:hAnsi="Times New Roman" w:cs="Times New Roman"/>
          <w:sz w:val="24"/>
          <w:szCs w:val="24"/>
        </w:rPr>
        <w:t>z</w:t>
      </w:r>
      <w:r w:rsidR="00C32677">
        <w:rPr>
          <w:rFonts w:ascii="Times New Roman" w:hAnsi="Times New Roman" w:cs="Times New Roman"/>
          <w:sz w:val="24"/>
          <w:szCs w:val="24"/>
        </w:rPr>
        <w:t>ése arra</w:t>
      </w:r>
      <w:r w:rsidR="00F43098" w:rsidRPr="00413518">
        <w:rPr>
          <w:rFonts w:ascii="Times New Roman" w:hAnsi="Times New Roman" w:cs="Times New Roman"/>
          <w:sz w:val="24"/>
          <w:szCs w:val="24"/>
        </w:rPr>
        <w:t>, hogy gazdaságosabban használják az energiákat, amely tulajdonképpen az üvegházgázok csökkenéséhez vezet.</w:t>
      </w:r>
      <w:r w:rsidR="00F43098" w:rsidRPr="00413518">
        <w:rPr>
          <w:rStyle w:val="Lbjegyzet-hivatkozs"/>
          <w:sz w:val="24"/>
          <w:szCs w:val="24"/>
        </w:rPr>
        <w:footnoteReference w:id="165"/>
      </w:r>
      <w:r w:rsidR="00924D2E" w:rsidRPr="00413518">
        <w:rPr>
          <w:rFonts w:ascii="Times New Roman" w:hAnsi="Times New Roman" w:cs="Times New Roman"/>
          <w:sz w:val="24"/>
          <w:szCs w:val="24"/>
        </w:rPr>
        <w:t xml:space="preserve"> </w:t>
      </w:r>
      <w:r w:rsidR="00C70284" w:rsidRPr="00413518">
        <w:rPr>
          <w:rFonts w:ascii="Times New Roman" w:hAnsi="Times New Roman" w:cs="Times New Roman"/>
          <w:sz w:val="24"/>
          <w:szCs w:val="24"/>
        </w:rPr>
        <w:t>2001-től kezdve a CCL hatály</w:t>
      </w:r>
      <w:r w:rsidR="00C32677">
        <w:rPr>
          <w:rFonts w:ascii="Times New Roman" w:hAnsi="Times New Roman" w:cs="Times New Roman"/>
          <w:sz w:val="24"/>
          <w:szCs w:val="24"/>
        </w:rPr>
        <w:t xml:space="preserve">a kiterjed a szén, a földgáz, </w:t>
      </w:r>
      <w:r w:rsidR="00C70284" w:rsidRPr="00413518">
        <w:rPr>
          <w:rFonts w:ascii="Times New Roman" w:hAnsi="Times New Roman" w:cs="Times New Roman"/>
          <w:sz w:val="24"/>
          <w:szCs w:val="24"/>
        </w:rPr>
        <w:t xml:space="preserve">a villamos energia </w:t>
      </w:r>
      <w:r w:rsidR="00C32677">
        <w:rPr>
          <w:rFonts w:ascii="Times New Roman" w:hAnsi="Times New Roman" w:cs="Times New Roman"/>
          <w:sz w:val="24"/>
          <w:szCs w:val="24"/>
        </w:rPr>
        <w:t xml:space="preserve">és a Pb-gáz </w:t>
      </w:r>
      <w:r w:rsidR="00C70284" w:rsidRPr="00413518">
        <w:rPr>
          <w:rFonts w:ascii="Times New Roman" w:hAnsi="Times New Roman" w:cs="Times New Roman"/>
          <w:sz w:val="24"/>
          <w:szCs w:val="24"/>
        </w:rPr>
        <w:t>fog</w:t>
      </w:r>
      <w:r w:rsidR="00C32677">
        <w:rPr>
          <w:rFonts w:ascii="Times New Roman" w:hAnsi="Times New Roman" w:cs="Times New Roman"/>
          <w:sz w:val="24"/>
          <w:szCs w:val="24"/>
        </w:rPr>
        <w:t>yasztására</w:t>
      </w:r>
      <w:r w:rsidR="00C70284" w:rsidRPr="00413518">
        <w:rPr>
          <w:rFonts w:ascii="Times New Roman" w:hAnsi="Times New Roman" w:cs="Times New Roman"/>
          <w:sz w:val="24"/>
          <w:szCs w:val="24"/>
        </w:rPr>
        <w:t>.</w:t>
      </w:r>
      <w:r w:rsidR="00C70284" w:rsidRPr="00413518">
        <w:rPr>
          <w:rStyle w:val="Lbjegyzet-hivatkozs"/>
          <w:sz w:val="24"/>
          <w:szCs w:val="24"/>
        </w:rPr>
        <w:footnoteReference w:id="166"/>
      </w:r>
      <w:r w:rsidR="00C70284" w:rsidRPr="00413518">
        <w:rPr>
          <w:rFonts w:ascii="Times New Roman" w:hAnsi="Times New Roman" w:cs="Times New Roman"/>
          <w:sz w:val="24"/>
          <w:szCs w:val="24"/>
        </w:rPr>
        <w:t xml:space="preserve"> A CCL-ből </w:t>
      </w:r>
      <w:r w:rsidR="00C70284" w:rsidRPr="00413518">
        <w:rPr>
          <w:rFonts w:ascii="Times New Roman" w:hAnsi="Times New Roman" w:cs="Times New Roman"/>
          <w:sz w:val="24"/>
          <w:szCs w:val="24"/>
        </w:rPr>
        <w:lastRenderedPageBreak/>
        <w:t>származó bevételeket az angol adórendszer megreformálására használják fel, amely tulajdonképp</w:t>
      </w:r>
      <w:r w:rsidR="008D2B02">
        <w:rPr>
          <w:rFonts w:ascii="Times New Roman" w:hAnsi="Times New Roman" w:cs="Times New Roman"/>
          <w:sz w:val="24"/>
          <w:szCs w:val="24"/>
        </w:rPr>
        <w:t xml:space="preserve">en Uniós szinten az ETR rendszer megvalósítását </w:t>
      </w:r>
      <w:r w:rsidR="00C32677">
        <w:rPr>
          <w:rFonts w:ascii="Times New Roman" w:hAnsi="Times New Roman" w:cs="Times New Roman"/>
          <w:sz w:val="24"/>
          <w:szCs w:val="24"/>
        </w:rPr>
        <w:t>jelenti</w:t>
      </w:r>
      <w:r w:rsidR="00C70284" w:rsidRPr="00413518">
        <w:rPr>
          <w:rFonts w:ascii="Times New Roman" w:hAnsi="Times New Roman" w:cs="Times New Roman"/>
          <w:sz w:val="24"/>
          <w:szCs w:val="24"/>
        </w:rPr>
        <w:t xml:space="preserve">. </w:t>
      </w:r>
      <w:r w:rsidR="00C70284" w:rsidRPr="00413518">
        <w:rPr>
          <w:rStyle w:val="Lbjegyzet-hivatkozs"/>
          <w:sz w:val="24"/>
          <w:szCs w:val="24"/>
        </w:rPr>
        <w:footnoteReference w:id="167"/>
      </w:r>
      <w:r w:rsidR="00C70284" w:rsidRPr="00413518">
        <w:rPr>
          <w:rFonts w:ascii="Times New Roman" w:hAnsi="Times New Roman" w:cs="Times New Roman"/>
          <w:sz w:val="24"/>
          <w:szCs w:val="24"/>
        </w:rPr>
        <w:t xml:space="preserve"> </w:t>
      </w:r>
      <w:r w:rsidR="00ED5104" w:rsidRPr="00413518">
        <w:rPr>
          <w:rFonts w:ascii="Times New Roman" w:hAnsi="Times New Roman" w:cs="Times New Roman"/>
          <w:sz w:val="24"/>
          <w:szCs w:val="24"/>
        </w:rPr>
        <w:t>2001 és 2007 között az adómértékek konstansak, ez pedig arra utal, hogy az árváltozás tulajdonképpen az árfolyam béli változások függvénye.</w:t>
      </w:r>
      <w:r w:rsidR="00ED5104" w:rsidRPr="00413518">
        <w:rPr>
          <w:rStyle w:val="Lbjegyzet-hivatkozs"/>
          <w:sz w:val="24"/>
          <w:szCs w:val="24"/>
        </w:rPr>
        <w:footnoteReference w:id="168"/>
      </w:r>
      <w:r w:rsidR="008A0729" w:rsidRPr="00413518">
        <w:rPr>
          <w:rFonts w:ascii="Times New Roman" w:hAnsi="Times New Roman" w:cs="Times New Roman"/>
          <w:sz w:val="24"/>
          <w:szCs w:val="24"/>
        </w:rPr>
        <w:tab/>
      </w:r>
      <w:r w:rsidR="008A0729" w:rsidRPr="00413518">
        <w:rPr>
          <w:rFonts w:ascii="Times New Roman" w:hAnsi="Times New Roman" w:cs="Times New Roman"/>
          <w:sz w:val="24"/>
          <w:szCs w:val="24"/>
        </w:rPr>
        <w:br/>
      </w:r>
      <w:r w:rsidR="008A0729" w:rsidRPr="00413518">
        <w:rPr>
          <w:rFonts w:ascii="Times New Roman" w:hAnsi="Times New Roman" w:cs="Times New Roman"/>
          <w:sz w:val="24"/>
          <w:szCs w:val="24"/>
        </w:rPr>
        <w:tab/>
        <w:t xml:space="preserve">Itt is találkozhatunk különleges adózási kedvezményekkel, amelyeket a fentebb </w:t>
      </w:r>
      <w:r w:rsidR="00986992">
        <w:rPr>
          <w:rFonts w:ascii="Times New Roman" w:hAnsi="Times New Roman" w:cs="Times New Roman"/>
          <w:sz w:val="24"/>
          <w:szCs w:val="24"/>
        </w:rPr>
        <w:t>ismertetett</w:t>
      </w:r>
      <w:r w:rsidR="008A0729" w:rsidRPr="00413518">
        <w:rPr>
          <w:rFonts w:ascii="Times New Roman" w:hAnsi="Times New Roman" w:cs="Times New Roman"/>
          <w:sz w:val="24"/>
          <w:szCs w:val="24"/>
        </w:rPr>
        <w:t xml:space="preserve"> országok megoldásai ihlett</w:t>
      </w:r>
      <w:r w:rsidR="008D2B02">
        <w:rPr>
          <w:rFonts w:ascii="Times New Roman" w:hAnsi="Times New Roman" w:cs="Times New Roman"/>
          <w:sz w:val="24"/>
          <w:szCs w:val="24"/>
        </w:rPr>
        <w:t xml:space="preserve">ek. </w:t>
      </w:r>
      <w:r w:rsidR="008A0729" w:rsidRPr="00413518">
        <w:rPr>
          <w:rFonts w:ascii="Times New Roman" w:hAnsi="Times New Roman" w:cs="Times New Roman"/>
          <w:sz w:val="24"/>
          <w:szCs w:val="24"/>
        </w:rPr>
        <w:t>Az energiaigényes vállalatok</w:t>
      </w:r>
      <w:r w:rsidR="000F01ED" w:rsidRPr="00413518">
        <w:rPr>
          <w:rFonts w:ascii="Times New Roman" w:hAnsi="Times New Roman" w:cs="Times New Roman"/>
          <w:sz w:val="24"/>
          <w:szCs w:val="24"/>
        </w:rPr>
        <w:t xml:space="preserve"> 80 %-os adókedvez</w:t>
      </w:r>
      <w:r w:rsidR="000B23CC">
        <w:rPr>
          <w:rFonts w:ascii="Times New Roman" w:hAnsi="Times New Roman" w:cs="Times New Roman"/>
          <w:sz w:val="24"/>
          <w:szCs w:val="24"/>
        </w:rPr>
        <w:t xml:space="preserve">ményre jogosultak, amennyiben </w:t>
      </w:r>
      <w:r w:rsidR="000F01ED" w:rsidRPr="00413518">
        <w:rPr>
          <w:rFonts w:ascii="Times New Roman" w:hAnsi="Times New Roman" w:cs="Times New Roman"/>
          <w:sz w:val="24"/>
          <w:szCs w:val="24"/>
        </w:rPr>
        <w:t xml:space="preserve">szigorú célkitűzéseket </w:t>
      </w:r>
      <w:r w:rsidR="000B23CC">
        <w:rPr>
          <w:rFonts w:ascii="Times New Roman" w:hAnsi="Times New Roman" w:cs="Times New Roman"/>
          <w:sz w:val="24"/>
          <w:szCs w:val="24"/>
        </w:rPr>
        <w:t xml:space="preserve">vállalnak </w:t>
      </w:r>
      <w:r w:rsidR="000F01ED" w:rsidRPr="00413518">
        <w:rPr>
          <w:rFonts w:ascii="Times New Roman" w:hAnsi="Times New Roman" w:cs="Times New Roman"/>
          <w:sz w:val="24"/>
          <w:szCs w:val="24"/>
        </w:rPr>
        <w:t>az energiahatékonyság javítása érdekében.</w:t>
      </w:r>
      <w:r w:rsidR="000F01ED" w:rsidRPr="00413518">
        <w:rPr>
          <w:rStyle w:val="Lbjegyzet-hivatkozs"/>
          <w:sz w:val="24"/>
          <w:szCs w:val="24"/>
        </w:rPr>
        <w:footnoteReference w:id="169"/>
      </w:r>
      <w:r w:rsidR="000F01ED" w:rsidRPr="00413518">
        <w:rPr>
          <w:rFonts w:ascii="Times New Roman" w:hAnsi="Times New Roman" w:cs="Times New Roman"/>
          <w:sz w:val="24"/>
          <w:szCs w:val="24"/>
        </w:rPr>
        <w:t xml:space="preserve"> </w:t>
      </w:r>
      <w:r w:rsidR="008D2B02">
        <w:rPr>
          <w:rFonts w:ascii="Times New Roman" w:hAnsi="Times New Roman" w:cs="Times New Roman"/>
          <w:sz w:val="24"/>
          <w:szCs w:val="24"/>
        </w:rPr>
        <w:t xml:space="preserve">Hasonló megoldást Németország alkalmaz az energiaigényes vállalatok esetében, hazánkban ez a megoldás ismeretlen. </w:t>
      </w:r>
      <w:r w:rsidR="000F01ED" w:rsidRPr="00413518">
        <w:rPr>
          <w:rFonts w:ascii="Times New Roman" w:hAnsi="Times New Roman" w:cs="Times New Roman"/>
          <w:sz w:val="24"/>
          <w:szCs w:val="24"/>
        </w:rPr>
        <w:t>Az Egyesült Királyság iparának a nemzetközi versenyben tapasztalt visszaesésének köszönhetően vezették be ezeket a rendelkezéseket</w:t>
      </w:r>
      <w:r w:rsidR="00BC57DF" w:rsidRPr="00413518">
        <w:rPr>
          <w:rStyle w:val="Lbjegyzet-hivatkozs"/>
          <w:sz w:val="24"/>
          <w:szCs w:val="24"/>
        </w:rPr>
        <w:footnoteReference w:id="170"/>
      </w:r>
      <w:r w:rsidR="000F01ED" w:rsidRPr="00413518">
        <w:rPr>
          <w:rFonts w:ascii="Times New Roman" w:hAnsi="Times New Roman" w:cs="Times New Roman"/>
          <w:sz w:val="24"/>
          <w:szCs w:val="24"/>
        </w:rPr>
        <w:t>. A kormánynak a célja ezzel az volt, hogy feltételes adókedvezményeket biztosítsanak az energiaigényes iparágak részére.</w:t>
      </w:r>
      <w:r w:rsidR="000F01ED" w:rsidRPr="00413518">
        <w:rPr>
          <w:rStyle w:val="Lbjegyzet-hivatkozs"/>
          <w:sz w:val="24"/>
          <w:szCs w:val="24"/>
        </w:rPr>
        <w:footnoteReference w:id="171"/>
      </w:r>
      <w:r w:rsidR="000F01ED" w:rsidRPr="00413518">
        <w:rPr>
          <w:rFonts w:ascii="Times New Roman" w:hAnsi="Times New Roman" w:cs="Times New Roman"/>
          <w:sz w:val="24"/>
          <w:szCs w:val="24"/>
        </w:rPr>
        <w:t xml:space="preserve"> Az újfajta megközelítés mögött az a koncepció áll, hogy ha a vállalatok Klímaváltozási Szerződéseket</w:t>
      </w:r>
      <w:r w:rsidR="0055345C" w:rsidRPr="00413518">
        <w:rPr>
          <w:rStyle w:val="Lbjegyzet-hivatkozs"/>
          <w:sz w:val="24"/>
          <w:szCs w:val="24"/>
        </w:rPr>
        <w:footnoteReference w:id="172"/>
      </w:r>
      <w:r w:rsidR="000F01ED" w:rsidRPr="00413518">
        <w:rPr>
          <w:rFonts w:ascii="Times New Roman" w:hAnsi="Times New Roman" w:cs="Times New Roman"/>
          <w:sz w:val="24"/>
          <w:szCs w:val="24"/>
        </w:rPr>
        <w:t xml:space="preserve"> kötnek, amelyek jogilag kötelező erővel bírnak, így a szerződésben vállalt energiahatékonysági/takarékossági célok megvalósítása mellett adókedvezményekben részesülhetnek.</w:t>
      </w:r>
      <w:r w:rsidR="000F01ED" w:rsidRPr="00413518">
        <w:rPr>
          <w:rStyle w:val="Lbjegyzet-hivatkozs"/>
          <w:sz w:val="24"/>
          <w:szCs w:val="24"/>
        </w:rPr>
        <w:footnoteReference w:id="173"/>
      </w:r>
      <w:r w:rsidR="000F01ED" w:rsidRPr="00413518">
        <w:rPr>
          <w:rFonts w:ascii="Times New Roman" w:hAnsi="Times New Roman" w:cs="Times New Roman"/>
          <w:sz w:val="24"/>
          <w:szCs w:val="24"/>
        </w:rPr>
        <w:t xml:space="preserve"> </w:t>
      </w:r>
      <w:r w:rsidR="00554787" w:rsidRPr="00413518">
        <w:rPr>
          <w:rFonts w:ascii="Times New Roman" w:hAnsi="Times New Roman" w:cs="Times New Roman"/>
          <w:sz w:val="24"/>
          <w:szCs w:val="24"/>
        </w:rPr>
        <w:t xml:space="preserve">Nem vonatkozik a CCL rájuk, így adómentességet élveznek a megújuló energiaforrások, </w:t>
      </w:r>
      <w:r w:rsidR="00554787" w:rsidRPr="00986992">
        <w:rPr>
          <w:rFonts w:ascii="Times New Roman" w:hAnsi="Times New Roman" w:cs="Times New Roman"/>
          <w:sz w:val="24"/>
          <w:szCs w:val="24"/>
        </w:rPr>
        <w:t xml:space="preserve">a </w:t>
      </w:r>
      <w:r w:rsidR="00986992" w:rsidRPr="00986992">
        <w:rPr>
          <w:rFonts w:ascii="Times New Roman" w:hAnsi="Times New Roman" w:cs="Times New Roman"/>
          <w:sz w:val="24"/>
          <w:szCs w:val="24"/>
        </w:rPr>
        <w:t>nagy hatékonyságú hő- és villamos energia</w:t>
      </w:r>
      <w:r w:rsidR="008D2B02">
        <w:rPr>
          <w:rFonts w:ascii="Times New Roman" w:hAnsi="Times New Roman" w:cs="Times New Roman"/>
          <w:sz w:val="24"/>
          <w:szCs w:val="24"/>
        </w:rPr>
        <w:t xml:space="preserve"> (CHP) és a háztartások. A </w:t>
      </w:r>
      <w:r w:rsidR="00554787" w:rsidRPr="00413518">
        <w:rPr>
          <w:rFonts w:ascii="Times New Roman" w:hAnsi="Times New Roman" w:cs="Times New Roman"/>
          <w:sz w:val="24"/>
          <w:szCs w:val="24"/>
        </w:rPr>
        <w:t>nukleáris energia nem képez kivételt.</w:t>
      </w:r>
      <w:r w:rsidR="00554787" w:rsidRPr="00413518">
        <w:rPr>
          <w:rStyle w:val="Lbjegyzet-hivatkozs"/>
          <w:sz w:val="24"/>
          <w:szCs w:val="24"/>
        </w:rPr>
        <w:footnoteReference w:id="174"/>
      </w:r>
      <w:r w:rsidR="008D2B02">
        <w:rPr>
          <w:rFonts w:ascii="Times New Roman" w:hAnsi="Times New Roman" w:cs="Times New Roman"/>
          <w:sz w:val="24"/>
          <w:szCs w:val="24"/>
        </w:rPr>
        <w:tab/>
      </w:r>
      <w:r w:rsidR="005B4348" w:rsidRPr="00413518">
        <w:rPr>
          <w:rFonts w:ascii="Times New Roman" w:hAnsi="Times New Roman" w:cs="Times New Roman"/>
          <w:sz w:val="24"/>
          <w:szCs w:val="24"/>
        </w:rPr>
        <w:br/>
      </w:r>
      <w:r w:rsidR="005B4348" w:rsidRPr="00413518">
        <w:rPr>
          <w:rFonts w:ascii="Times New Roman" w:hAnsi="Times New Roman" w:cs="Times New Roman"/>
          <w:sz w:val="24"/>
          <w:szCs w:val="24"/>
        </w:rPr>
        <w:tab/>
        <w:t>A CCL rendszer bevezetésével alacsony adóbevételekre</w:t>
      </w:r>
      <w:r w:rsidR="005B4348" w:rsidRPr="00413518">
        <w:rPr>
          <w:rStyle w:val="Lbjegyzet-hivatkozs"/>
          <w:sz w:val="24"/>
          <w:szCs w:val="24"/>
        </w:rPr>
        <w:footnoteReference w:id="175"/>
      </w:r>
      <w:r w:rsidR="005B4348" w:rsidRPr="00413518">
        <w:rPr>
          <w:rFonts w:ascii="Times New Roman" w:hAnsi="Times New Roman" w:cs="Times New Roman"/>
          <w:sz w:val="24"/>
          <w:szCs w:val="24"/>
        </w:rPr>
        <w:t xml:space="preserve"> tettek szert, amelyeket az angol iparágak részére a munkáltatók csökkentett mértékű TB- járulékain keresztül osztottak újra szét.</w:t>
      </w:r>
      <w:r w:rsidR="005B4348" w:rsidRPr="00413518">
        <w:rPr>
          <w:rStyle w:val="Lbjegyzet-hivatkozs"/>
          <w:sz w:val="24"/>
          <w:szCs w:val="24"/>
        </w:rPr>
        <w:footnoteReference w:id="176"/>
      </w:r>
      <w:r w:rsidR="005B4348" w:rsidRPr="00413518">
        <w:rPr>
          <w:rFonts w:ascii="Times New Roman" w:hAnsi="Times New Roman" w:cs="Times New Roman"/>
          <w:sz w:val="24"/>
          <w:szCs w:val="24"/>
        </w:rPr>
        <w:t xml:space="preserve"> Így ez a szakpolitika lehetővé teszi azt, hogy a teljes adóteher mennyisége változatlan marad, amellett, hogy a különböző vállalatokat más-más módon érinti. Például</w:t>
      </w:r>
      <w:r w:rsidR="005B4348" w:rsidRPr="00413518">
        <w:rPr>
          <w:rStyle w:val="Lbjegyzet-hivatkozs"/>
          <w:sz w:val="24"/>
          <w:szCs w:val="24"/>
        </w:rPr>
        <w:footnoteReference w:id="177"/>
      </w:r>
      <w:r w:rsidR="005B4348" w:rsidRPr="00413518">
        <w:rPr>
          <w:rFonts w:ascii="Times New Roman" w:hAnsi="Times New Roman" w:cs="Times New Roman"/>
          <w:sz w:val="24"/>
          <w:szCs w:val="24"/>
        </w:rPr>
        <w:t xml:space="preserve"> </w:t>
      </w:r>
      <w:r w:rsidR="005B4348" w:rsidRPr="00413518">
        <w:rPr>
          <w:rFonts w:ascii="Times New Roman" w:hAnsi="Times New Roman" w:cs="Times New Roman"/>
          <w:sz w:val="24"/>
          <w:szCs w:val="24"/>
        </w:rPr>
        <w:lastRenderedPageBreak/>
        <w:t>egyes ágazatok</w:t>
      </w:r>
      <w:r w:rsidR="005B4348" w:rsidRPr="00413518">
        <w:rPr>
          <w:rStyle w:val="Lbjegyzet-hivatkozs"/>
          <w:sz w:val="24"/>
          <w:szCs w:val="24"/>
        </w:rPr>
        <w:footnoteReference w:id="178"/>
      </w:r>
      <w:r w:rsidR="005B4348" w:rsidRPr="00413518">
        <w:rPr>
          <w:rFonts w:ascii="Times New Roman" w:hAnsi="Times New Roman" w:cs="Times New Roman"/>
          <w:sz w:val="24"/>
          <w:szCs w:val="24"/>
        </w:rPr>
        <w:t xml:space="preserve"> profitálnak az újraelosztási intézkedésekből, mások pedig nem</w:t>
      </w:r>
      <w:r w:rsidR="005B4348" w:rsidRPr="00413518">
        <w:rPr>
          <w:rStyle w:val="Lbjegyzet-hivatkozs"/>
          <w:sz w:val="24"/>
          <w:szCs w:val="24"/>
        </w:rPr>
        <w:footnoteReference w:id="179"/>
      </w:r>
      <w:r w:rsidR="005B4348" w:rsidRPr="00413518">
        <w:rPr>
          <w:rFonts w:ascii="Times New Roman" w:hAnsi="Times New Roman" w:cs="Times New Roman"/>
          <w:sz w:val="24"/>
          <w:szCs w:val="24"/>
        </w:rPr>
        <w:t>. Az így kialakult újraelosztási rendszer csakis az ipart</w:t>
      </w:r>
      <w:r w:rsidR="005B4348" w:rsidRPr="00413518">
        <w:rPr>
          <w:rStyle w:val="Lbjegyzet-hivatkozs"/>
          <w:sz w:val="24"/>
          <w:szCs w:val="24"/>
        </w:rPr>
        <w:footnoteReference w:id="180"/>
      </w:r>
      <w:r w:rsidR="005B4348" w:rsidRPr="00413518">
        <w:rPr>
          <w:rFonts w:ascii="Times New Roman" w:hAnsi="Times New Roman" w:cs="Times New Roman"/>
          <w:sz w:val="24"/>
          <w:szCs w:val="24"/>
        </w:rPr>
        <w:t>, mint szektort érinti, hiszen az itt található vállalatok az alanyai a CCL adónak.</w:t>
      </w:r>
      <w:r w:rsidR="00CB0E0C" w:rsidRPr="00413518">
        <w:rPr>
          <w:rFonts w:ascii="Times New Roman" w:hAnsi="Times New Roman" w:cs="Times New Roman"/>
          <w:sz w:val="24"/>
          <w:szCs w:val="24"/>
        </w:rPr>
        <w:tab/>
      </w:r>
    </w:p>
    <w:p w:rsidR="008766DC" w:rsidRPr="00413518" w:rsidRDefault="002A5FB5" w:rsidP="0069191A">
      <w:pPr>
        <w:spacing w:line="360" w:lineRule="auto"/>
        <w:jc w:val="both"/>
        <w:rPr>
          <w:rStyle w:val="Kiemels"/>
          <w:rFonts w:ascii="Times New Roman" w:hAnsi="Times New Roman" w:cs="Times New Roman"/>
        </w:rPr>
      </w:pPr>
      <w:r>
        <w:rPr>
          <w:rStyle w:val="Kiemels"/>
          <w:rFonts w:ascii="Times New Roman" w:hAnsi="Times New Roman" w:cs="Times New Roman"/>
        </w:rPr>
        <w:t>6</w:t>
      </w:r>
      <w:r w:rsidR="00793BC2" w:rsidRPr="00413518">
        <w:rPr>
          <w:rStyle w:val="Kiemels"/>
          <w:rFonts w:ascii="Times New Roman" w:hAnsi="Times New Roman" w:cs="Times New Roman"/>
        </w:rPr>
        <w:t>.Ábra</w:t>
      </w:r>
      <w:r w:rsidR="008766DC" w:rsidRPr="00413518">
        <w:rPr>
          <w:rStyle w:val="Kiemels"/>
          <w:rFonts w:ascii="Times New Roman" w:hAnsi="Times New Roman" w:cs="Times New Roman"/>
        </w:rPr>
        <w:t>: A környezetvédelmi adóbevételek megoszlásának az aránya</w:t>
      </w:r>
      <w:r w:rsidR="008766DC" w:rsidRPr="00413518">
        <w:rPr>
          <w:rStyle w:val="Kiemels"/>
          <w:rFonts w:ascii="Times New Roman" w:hAnsi="Times New Roman" w:cs="Times New Roman"/>
          <w:vertAlign w:val="superscript"/>
        </w:rPr>
        <w:footnoteReference w:id="181"/>
      </w:r>
      <w:r w:rsidR="00CB0E0C" w:rsidRPr="00413518">
        <w:rPr>
          <w:rStyle w:val="Kiemels"/>
          <w:rFonts w:ascii="Times New Roman" w:hAnsi="Times New Roman" w:cs="Times New Roman"/>
        </w:rPr>
        <w:tab/>
      </w:r>
      <w:r w:rsidR="00CB0E0C" w:rsidRPr="00413518">
        <w:rPr>
          <w:rStyle w:val="Kiemels"/>
          <w:rFonts w:ascii="Times New Roman" w:hAnsi="Times New Roman" w:cs="Times New Roman"/>
        </w:rPr>
        <w:tab/>
      </w:r>
    </w:p>
    <w:p w:rsidR="00986992" w:rsidRDefault="008766DC" w:rsidP="00933263">
      <w:pPr>
        <w:spacing w:line="360" w:lineRule="auto"/>
        <w:jc w:val="both"/>
        <w:rPr>
          <w:rFonts w:ascii="Times New Roman" w:hAnsi="Times New Roman" w:cs="Times New Roman"/>
          <w:sz w:val="24"/>
          <w:szCs w:val="24"/>
        </w:rPr>
      </w:pPr>
      <w:r w:rsidRPr="00413518">
        <w:rPr>
          <w:rFonts w:ascii="Times New Roman" w:hAnsi="Times New Roman" w:cs="Times New Roman"/>
          <w:noProof/>
          <w:sz w:val="24"/>
          <w:szCs w:val="24"/>
        </w:rPr>
        <w:drawing>
          <wp:inline distT="0" distB="0" distL="0" distR="0">
            <wp:extent cx="5686425" cy="3305175"/>
            <wp:effectExtent l="19050" t="0" r="9525" b="0"/>
            <wp:docPr id="7" name="Kép 6" descr="angol energiaadó bevétel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gol energiaadó bevételek.JPG"/>
                    <pic:cNvPicPr/>
                  </pic:nvPicPr>
                  <pic:blipFill>
                    <a:blip r:embed="rId28" cstate="print"/>
                    <a:stretch>
                      <a:fillRect/>
                    </a:stretch>
                  </pic:blipFill>
                  <pic:spPr>
                    <a:xfrm>
                      <a:off x="0" y="0"/>
                      <a:ext cx="5686425" cy="3305175"/>
                    </a:xfrm>
                    <a:prstGeom prst="rect">
                      <a:avLst/>
                    </a:prstGeom>
                  </pic:spPr>
                </pic:pic>
              </a:graphicData>
            </a:graphic>
          </wp:inline>
        </w:drawing>
      </w:r>
    </w:p>
    <w:p w:rsidR="00254408" w:rsidRDefault="00254408" w:rsidP="00933263">
      <w:pPr>
        <w:spacing w:line="360" w:lineRule="auto"/>
        <w:jc w:val="both"/>
        <w:rPr>
          <w:rFonts w:ascii="Times New Roman" w:hAnsi="Times New Roman" w:cs="Times New Roman"/>
          <w:sz w:val="24"/>
          <w:szCs w:val="24"/>
        </w:rPr>
      </w:pPr>
      <w:r>
        <w:rPr>
          <w:rFonts w:ascii="Times New Roman" w:hAnsi="Times New Roman" w:cs="Times New Roman"/>
          <w:b/>
          <w:i/>
          <w:sz w:val="24"/>
          <w:szCs w:val="24"/>
        </w:rPr>
        <w:t>Forrás:</w:t>
      </w:r>
      <w:hyperlink r:id="rId29" w:history="1">
        <w:r w:rsidR="00500343" w:rsidRPr="00CA1492">
          <w:rPr>
            <w:rStyle w:val="Hiperhivatkozs"/>
            <w:rFonts w:ascii="Times New Roman" w:hAnsi="Times New Roman" w:cs="Times New Roman"/>
          </w:rPr>
          <w:t>www.ons.gov.uk/ons/rel/environmental/environmental-accounts/2011/environmental-taxes.html</w:t>
        </w:r>
      </w:hyperlink>
      <w:r w:rsidR="008D2B02">
        <w:br/>
      </w:r>
    </w:p>
    <w:p w:rsidR="008D2B02" w:rsidRDefault="008D2B02" w:rsidP="00933263">
      <w:pPr>
        <w:spacing w:line="360" w:lineRule="auto"/>
        <w:jc w:val="both"/>
        <w:rPr>
          <w:rFonts w:ascii="Times New Roman" w:hAnsi="Times New Roman" w:cs="Times New Roman"/>
          <w:sz w:val="24"/>
          <w:szCs w:val="24"/>
        </w:rPr>
      </w:pPr>
    </w:p>
    <w:p w:rsidR="0078579F" w:rsidRDefault="0078579F" w:rsidP="00933263">
      <w:pPr>
        <w:spacing w:line="360" w:lineRule="auto"/>
        <w:jc w:val="both"/>
        <w:rPr>
          <w:rFonts w:ascii="Times New Roman" w:hAnsi="Times New Roman" w:cs="Times New Roman"/>
          <w:sz w:val="24"/>
          <w:szCs w:val="24"/>
        </w:rPr>
      </w:pPr>
    </w:p>
    <w:p w:rsidR="0078579F" w:rsidRDefault="0078579F" w:rsidP="00933263">
      <w:pPr>
        <w:spacing w:line="360" w:lineRule="auto"/>
        <w:jc w:val="both"/>
        <w:rPr>
          <w:rFonts w:ascii="Times New Roman" w:hAnsi="Times New Roman" w:cs="Times New Roman"/>
          <w:sz w:val="24"/>
          <w:szCs w:val="24"/>
        </w:rPr>
      </w:pPr>
    </w:p>
    <w:p w:rsidR="008D2B02" w:rsidRPr="00254408" w:rsidRDefault="008D2B02" w:rsidP="00933263">
      <w:pPr>
        <w:spacing w:line="360" w:lineRule="auto"/>
        <w:jc w:val="both"/>
        <w:rPr>
          <w:rFonts w:ascii="Times New Roman" w:hAnsi="Times New Roman" w:cs="Times New Roman"/>
          <w:sz w:val="24"/>
          <w:szCs w:val="24"/>
        </w:rPr>
      </w:pPr>
    </w:p>
    <w:p w:rsidR="00BC2DD3" w:rsidRPr="00413518" w:rsidRDefault="00793BC2" w:rsidP="0069191A">
      <w:pPr>
        <w:pStyle w:val="Cmsor2"/>
        <w:spacing w:line="360" w:lineRule="auto"/>
        <w:rPr>
          <w:rFonts w:ascii="Times New Roman" w:hAnsi="Times New Roman" w:cs="Times New Roman"/>
        </w:rPr>
      </w:pPr>
      <w:bookmarkStart w:id="10" w:name="_Toc340927916"/>
      <w:r w:rsidRPr="00413518">
        <w:rPr>
          <w:rFonts w:ascii="Times New Roman" w:hAnsi="Times New Roman" w:cs="Times New Roman"/>
        </w:rPr>
        <w:lastRenderedPageBreak/>
        <w:t>III. 4.</w:t>
      </w:r>
      <w:r w:rsidR="00A5160D" w:rsidRPr="00413518">
        <w:rPr>
          <w:rFonts w:ascii="Times New Roman" w:hAnsi="Times New Roman" w:cs="Times New Roman"/>
        </w:rPr>
        <w:t xml:space="preserve"> </w:t>
      </w:r>
      <w:r w:rsidR="00BF1E2F">
        <w:rPr>
          <w:rFonts w:ascii="Times New Roman" w:hAnsi="Times New Roman" w:cs="Times New Roman"/>
        </w:rPr>
        <w:t>A hazai szabályozás</w:t>
      </w:r>
      <w:bookmarkEnd w:id="10"/>
      <w:r w:rsidRPr="00413518">
        <w:rPr>
          <w:rFonts w:ascii="Times New Roman" w:hAnsi="Times New Roman" w:cs="Times New Roman"/>
        </w:rPr>
        <w:tab/>
      </w:r>
      <w:r w:rsidRPr="00413518">
        <w:rPr>
          <w:rFonts w:ascii="Times New Roman" w:hAnsi="Times New Roman" w:cs="Times New Roman"/>
        </w:rPr>
        <w:br/>
      </w:r>
    </w:p>
    <w:p w:rsidR="008766DC" w:rsidRPr="00413518" w:rsidRDefault="004F4EE5" w:rsidP="0069191A">
      <w:pPr>
        <w:spacing w:line="360" w:lineRule="auto"/>
        <w:jc w:val="both"/>
        <w:rPr>
          <w:rFonts w:ascii="Times New Roman" w:hAnsi="Times New Roman" w:cs="Times New Roman"/>
          <w:sz w:val="24"/>
          <w:szCs w:val="24"/>
        </w:rPr>
      </w:pPr>
      <w:r w:rsidRPr="00413518">
        <w:rPr>
          <w:rFonts w:ascii="Times New Roman" w:hAnsi="Times New Roman" w:cs="Times New Roman"/>
          <w:sz w:val="24"/>
          <w:szCs w:val="24"/>
        </w:rPr>
        <w:tab/>
      </w:r>
      <w:r w:rsidR="001A5824">
        <w:rPr>
          <w:rFonts w:ascii="Times New Roman" w:hAnsi="Times New Roman" w:cs="Times New Roman"/>
          <w:sz w:val="24"/>
          <w:szCs w:val="24"/>
        </w:rPr>
        <w:t>A 2004-es EU-s csatlakozásunk kapcsán került bevezetésre az energiaadó</w:t>
      </w:r>
      <w:r w:rsidR="00B925D5">
        <w:rPr>
          <w:rStyle w:val="Lbjegyzet-hivatkozs"/>
          <w:sz w:val="24"/>
          <w:szCs w:val="24"/>
        </w:rPr>
        <w:footnoteReference w:id="182"/>
      </w:r>
      <w:r w:rsidR="001A5824">
        <w:rPr>
          <w:rFonts w:ascii="Times New Roman" w:hAnsi="Times New Roman" w:cs="Times New Roman"/>
          <w:sz w:val="24"/>
          <w:szCs w:val="24"/>
        </w:rPr>
        <w:t xml:space="preserve">, amellyel Magyarország eleget tett a jogharmonizációs kötelezettségének. Bevezetésével inkább a fiskális, mint a környezetvédelmi jellege érvényesült, hiszen nem készült hatástanulmány a környezeti károk költségeinek a felmérésére, illetve nem az uniós irányelvben </w:t>
      </w:r>
      <w:r w:rsidR="00B17909">
        <w:rPr>
          <w:rFonts w:ascii="Times New Roman" w:hAnsi="Times New Roman" w:cs="Times New Roman"/>
          <w:sz w:val="24"/>
          <w:szCs w:val="24"/>
        </w:rPr>
        <w:t>meghatározott</w:t>
      </w:r>
      <w:r w:rsidR="001A5824">
        <w:rPr>
          <w:rFonts w:ascii="Times New Roman" w:hAnsi="Times New Roman" w:cs="Times New Roman"/>
          <w:sz w:val="24"/>
          <w:szCs w:val="24"/>
        </w:rPr>
        <w:t xml:space="preserve"> minimum mértéket alkalmazták, hanem a költségvetés bevételi szükségleteihez szabták az adó mértékét.</w:t>
      </w:r>
      <w:r w:rsidR="001A5824">
        <w:rPr>
          <w:rStyle w:val="Lbjegyzet-hivatkozs"/>
          <w:sz w:val="24"/>
          <w:szCs w:val="24"/>
        </w:rPr>
        <w:footnoteReference w:id="183"/>
      </w:r>
      <w:r w:rsidR="00B17909">
        <w:rPr>
          <w:rFonts w:ascii="Times New Roman" w:hAnsi="Times New Roman" w:cs="Times New Roman"/>
          <w:sz w:val="24"/>
          <w:szCs w:val="24"/>
        </w:rPr>
        <w:t>Fontos hangsúlyozni, hogy az energiaadó nem a költségvetési bevétel növelésének az eszköze, hanem a célja a fenntartható fejlődés elérése, a környezet védelme. A kívánt hatást akkor érhetjük el, ha a bevételeket részben ilyen célokra visszaforgatjuk.</w:t>
      </w:r>
      <w:r w:rsidR="00B17909">
        <w:rPr>
          <w:rStyle w:val="Lbjegyzet-hivatkozs"/>
          <w:sz w:val="24"/>
          <w:szCs w:val="24"/>
        </w:rPr>
        <w:footnoteReference w:id="184"/>
      </w:r>
      <w:r w:rsidR="005E4D28">
        <w:rPr>
          <w:rFonts w:ascii="Times New Roman" w:hAnsi="Times New Roman" w:cs="Times New Roman"/>
          <w:sz w:val="24"/>
          <w:szCs w:val="24"/>
        </w:rPr>
        <w:t xml:space="preserve"> Félő, hogy a költségvetés a gyengébb ellenállás irányába mozdul és az energiaadó bevezetése nem a környezetvédelmi célok elérését, hanem a költsé</w:t>
      </w:r>
      <w:r w:rsidR="00854C9B">
        <w:rPr>
          <w:rFonts w:ascii="Times New Roman" w:hAnsi="Times New Roman" w:cs="Times New Roman"/>
          <w:sz w:val="24"/>
          <w:szCs w:val="24"/>
        </w:rPr>
        <w:t xml:space="preserve">gvetés éhségének a kielégítését </w:t>
      </w:r>
      <w:r w:rsidR="005E4D28">
        <w:rPr>
          <w:rFonts w:ascii="Times New Roman" w:hAnsi="Times New Roman" w:cs="Times New Roman"/>
          <w:sz w:val="24"/>
          <w:szCs w:val="24"/>
        </w:rPr>
        <w:t>szolgál</w:t>
      </w:r>
      <w:r w:rsidR="00854C9B">
        <w:rPr>
          <w:rFonts w:ascii="Times New Roman" w:hAnsi="Times New Roman" w:cs="Times New Roman"/>
          <w:sz w:val="24"/>
          <w:szCs w:val="24"/>
        </w:rPr>
        <w:t>ja elsősorban</w:t>
      </w:r>
      <w:r w:rsidR="005E4D28">
        <w:rPr>
          <w:rFonts w:ascii="Times New Roman" w:hAnsi="Times New Roman" w:cs="Times New Roman"/>
          <w:sz w:val="24"/>
          <w:szCs w:val="24"/>
        </w:rPr>
        <w:t>.</w:t>
      </w:r>
      <w:r w:rsidR="005E4D28">
        <w:rPr>
          <w:rStyle w:val="Lbjegyzet-hivatkozs"/>
          <w:sz w:val="24"/>
          <w:szCs w:val="24"/>
        </w:rPr>
        <w:footnoteReference w:id="185"/>
      </w:r>
      <w:r w:rsidR="00854C9B">
        <w:rPr>
          <w:rFonts w:ascii="Times New Roman" w:hAnsi="Times New Roman" w:cs="Times New Roman"/>
          <w:sz w:val="24"/>
          <w:szCs w:val="24"/>
        </w:rPr>
        <w:tab/>
      </w:r>
      <w:r w:rsidR="00854C9B">
        <w:rPr>
          <w:rFonts w:ascii="Times New Roman" w:hAnsi="Times New Roman" w:cs="Times New Roman"/>
          <w:sz w:val="24"/>
          <w:szCs w:val="24"/>
        </w:rPr>
        <w:br/>
      </w:r>
      <w:r w:rsidR="00854C9B">
        <w:rPr>
          <w:rFonts w:ascii="Times New Roman" w:hAnsi="Times New Roman" w:cs="Times New Roman"/>
          <w:sz w:val="24"/>
          <w:szCs w:val="24"/>
        </w:rPr>
        <w:tab/>
      </w:r>
      <w:r w:rsidR="005E4D28">
        <w:rPr>
          <w:rFonts w:ascii="Times New Roman" w:hAnsi="Times New Roman" w:cs="Times New Roman"/>
          <w:sz w:val="24"/>
          <w:szCs w:val="24"/>
        </w:rPr>
        <w:t>A</w:t>
      </w:r>
      <w:r w:rsidR="008766DC" w:rsidRPr="00413518">
        <w:rPr>
          <w:rFonts w:ascii="Times New Roman" w:hAnsi="Times New Roman" w:cs="Times New Roman"/>
          <w:sz w:val="24"/>
          <w:szCs w:val="24"/>
        </w:rPr>
        <w:t>z en</w:t>
      </w:r>
      <w:r w:rsidR="00854C9B">
        <w:rPr>
          <w:rFonts w:ascii="Times New Roman" w:hAnsi="Times New Roman" w:cs="Times New Roman"/>
          <w:sz w:val="24"/>
          <w:szCs w:val="24"/>
        </w:rPr>
        <w:t xml:space="preserve">ergiaadó </w:t>
      </w:r>
      <w:r w:rsidR="008766DC" w:rsidRPr="00413518">
        <w:rPr>
          <w:rFonts w:ascii="Times New Roman" w:hAnsi="Times New Roman" w:cs="Times New Roman"/>
          <w:sz w:val="24"/>
          <w:szCs w:val="24"/>
        </w:rPr>
        <w:t>(1) egyfázisú; (2) közvetett adóztatást valósít meg; (3) fogyasztási adó, amely (4) áfa-alapot képez.</w:t>
      </w:r>
      <w:r w:rsidR="001A5824">
        <w:rPr>
          <w:rStyle w:val="Lbjegyzet-hivatkozs"/>
          <w:sz w:val="24"/>
          <w:szCs w:val="24"/>
        </w:rPr>
        <w:footnoteReference w:id="186"/>
      </w:r>
      <w:r w:rsidR="005E4D28">
        <w:rPr>
          <w:rFonts w:ascii="Times New Roman" w:hAnsi="Times New Roman" w:cs="Times New Roman"/>
          <w:sz w:val="24"/>
          <w:szCs w:val="24"/>
        </w:rPr>
        <w:t xml:space="preserve"> </w:t>
      </w:r>
      <w:r w:rsidR="008766DC" w:rsidRPr="00413518">
        <w:rPr>
          <w:rFonts w:ascii="Times New Roman" w:hAnsi="Times New Roman" w:cs="Times New Roman"/>
          <w:sz w:val="24"/>
          <w:szCs w:val="24"/>
        </w:rPr>
        <w:t xml:space="preserve">Az </w:t>
      </w:r>
      <w:r w:rsidR="008766DC" w:rsidRPr="00413518">
        <w:rPr>
          <w:rFonts w:ascii="Times New Roman" w:hAnsi="Times New Roman" w:cs="Times New Roman"/>
          <w:i/>
          <w:sz w:val="24"/>
          <w:szCs w:val="24"/>
        </w:rPr>
        <w:t>egyfázisú</w:t>
      </w:r>
      <w:r w:rsidR="008766DC" w:rsidRPr="00413518">
        <w:rPr>
          <w:rFonts w:ascii="Times New Roman" w:hAnsi="Times New Roman" w:cs="Times New Roman"/>
          <w:sz w:val="24"/>
          <w:szCs w:val="24"/>
        </w:rPr>
        <w:t xml:space="preserve"> jelleg alapvetően azt jelenti, hogy a hatósági ár felett felszámított adóhoz kapcsolódó fizetési kötelezettséget a termék forgalmazásának azon pontjához kapcsolja, ahol a termék felhasználója ténylegesen beazonosítható. A szabályozás a jövedéki adóval rokon, hiszen ezt az adónemet is egyszer kell megfizetni. A törvény ezzel a megoldással lecsökkenti az adófizetésre kötelezettek számát, továbbá azt is biztosítja, hogy a lakossági fogyasztók direkt adómentességet élvezzenek, az általuk vásárol</w:t>
      </w:r>
      <w:r w:rsidR="00460FDE">
        <w:rPr>
          <w:rFonts w:ascii="Times New Roman" w:hAnsi="Times New Roman" w:cs="Times New Roman"/>
          <w:sz w:val="24"/>
          <w:szCs w:val="24"/>
        </w:rPr>
        <w:t>t energiát ne terhelje adó.</w:t>
      </w:r>
      <w:r w:rsidR="005E4D28">
        <w:rPr>
          <w:rFonts w:ascii="Times New Roman" w:hAnsi="Times New Roman" w:cs="Times New Roman"/>
          <w:sz w:val="24"/>
          <w:szCs w:val="24"/>
        </w:rPr>
        <w:t xml:space="preserve"> </w:t>
      </w:r>
      <w:r w:rsidR="008766DC" w:rsidRPr="00413518">
        <w:rPr>
          <w:rFonts w:ascii="Times New Roman" w:hAnsi="Times New Roman" w:cs="Times New Roman"/>
          <w:sz w:val="24"/>
          <w:szCs w:val="24"/>
        </w:rPr>
        <w:t xml:space="preserve">Alapvetően egy </w:t>
      </w:r>
      <w:r w:rsidR="008766DC" w:rsidRPr="00413518">
        <w:rPr>
          <w:rFonts w:ascii="Times New Roman" w:hAnsi="Times New Roman" w:cs="Times New Roman"/>
          <w:i/>
          <w:sz w:val="24"/>
          <w:szCs w:val="24"/>
        </w:rPr>
        <w:t>fogyasztási adó</w:t>
      </w:r>
      <w:r w:rsidR="008766DC" w:rsidRPr="00413518">
        <w:rPr>
          <w:rFonts w:ascii="Times New Roman" w:hAnsi="Times New Roman" w:cs="Times New Roman"/>
          <w:sz w:val="24"/>
          <w:szCs w:val="24"/>
        </w:rPr>
        <w:t>ról beszélhetünk, vagyis az energiaterméket ténylegesen felhasználót terheli a fizetési kötelezettség, a végső fogyasztó viseli az adóterhet, mivel a termékhez kötődő adók az árat költségtényezőként növelik. Az adót az adóalanynak kell megfizetnie a központi költségvetés részére.</w:t>
      </w:r>
      <w:r w:rsidR="005E4D28">
        <w:rPr>
          <w:rFonts w:ascii="Times New Roman" w:hAnsi="Times New Roman" w:cs="Times New Roman"/>
          <w:sz w:val="24"/>
          <w:szCs w:val="24"/>
        </w:rPr>
        <w:t xml:space="preserve"> </w:t>
      </w:r>
      <w:r w:rsidR="008766DC" w:rsidRPr="00413518">
        <w:rPr>
          <w:rFonts w:ascii="Times New Roman" w:hAnsi="Times New Roman" w:cs="Times New Roman"/>
          <w:sz w:val="24"/>
          <w:szCs w:val="24"/>
        </w:rPr>
        <w:t xml:space="preserve">A </w:t>
      </w:r>
      <w:r w:rsidR="008766DC" w:rsidRPr="00413518">
        <w:rPr>
          <w:rFonts w:ascii="Times New Roman" w:hAnsi="Times New Roman" w:cs="Times New Roman"/>
          <w:i/>
          <w:sz w:val="24"/>
          <w:szCs w:val="24"/>
        </w:rPr>
        <w:t>közvetett</w:t>
      </w:r>
      <w:r w:rsidR="008766DC" w:rsidRPr="00413518">
        <w:rPr>
          <w:rFonts w:ascii="Times New Roman" w:hAnsi="Times New Roman" w:cs="Times New Roman"/>
          <w:sz w:val="24"/>
          <w:szCs w:val="24"/>
        </w:rPr>
        <w:t xml:space="preserve"> adóztatás lényege alapvetően abban ragadható meg, hogy az adóalany és az adóterhet viselő végső fogyasztó személye elválik egymástól. Ez alapján megállapítható, hogy annak ellenére, hogy </w:t>
      </w:r>
      <w:r w:rsidR="00B925D5">
        <w:rPr>
          <w:rFonts w:ascii="Times New Roman" w:hAnsi="Times New Roman" w:cs="Times New Roman"/>
          <w:sz w:val="24"/>
          <w:szCs w:val="24"/>
        </w:rPr>
        <w:t xml:space="preserve">a </w:t>
      </w:r>
      <w:r w:rsidR="008766DC" w:rsidRPr="00413518">
        <w:rPr>
          <w:rFonts w:ascii="Times New Roman" w:hAnsi="Times New Roman" w:cs="Times New Roman"/>
          <w:sz w:val="24"/>
          <w:szCs w:val="24"/>
        </w:rPr>
        <w:t xml:space="preserve">gazdasági szereplők és a közintézmények nem adóalanyok, az adóterhet közvetve mégis ők viselik, ezáltal a törvény célja érvényre jut. </w:t>
      </w:r>
      <w:r w:rsidR="005E4D28">
        <w:rPr>
          <w:rFonts w:ascii="Times New Roman" w:hAnsi="Times New Roman" w:cs="Times New Roman"/>
          <w:sz w:val="24"/>
          <w:szCs w:val="24"/>
        </w:rPr>
        <w:t xml:space="preserve"> </w:t>
      </w:r>
      <w:r w:rsidR="008766DC" w:rsidRPr="00413518">
        <w:rPr>
          <w:rFonts w:ascii="Times New Roman" w:hAnsi="Times New Roman" w:cs="Times New Roman"/>
          <w:sz w:val="24"/>
          <w:szCs w:val="24"/>
        </w:rPr>
        <w:t xml:space="preserve">Az energiaadó az általános forgalmi adóról szóló </w:t>
      </w:r>
      <w:r w:rsidR="008766DC" w:rsidRPr="00413518">
        <w:rPr>
          <w:rFonts w:ascii="Times New Roman" w:hAnsi="Times New Roman" w:cs="Times New Roman"/>
          <w:sz w:val="24"/>
          <w:szCs w:val="24"/>
        </w:rPr>
        <w:lastRenderedPageBreak/>
        <w:t>törvény</w:t>
      </w:r>
      <w:r w:rsidR="008766DC" w:rsidRPr="00413518">
        <w:rPr>
          <w:rStyle w:val="Lbjegyzet-hivatkozs"/>
          <w:sz w:val="24"/>
          <w:szCs w:val="24"/>
        </w:rPr>
        <w:footnoteReference w:id="187"/>
      </w:r>
      <w:r w:rsidR="008766DC" w:rsidRPr="00413518">
        <w:rPr>
          <w:rFonts w:ascii="Times New Roman" w:hAnsi="Times New Roman" w:cs="Times New Roman"/>
          <w:sz w:val="24"/>
          <w:szCs w:val="24"/>
        </w:rPr>
        <w:t xml:space="preserve"> értelmében </w:t>
      </w:r>
      <w:r w:rsidR="008766DC" w:rsidRPr="00413518">
        <w:rPr>
          <w:rFonts w:ascii="Times New Roman" w:hAnsi="Times New Roman" w:cs="Times New Roman"/>
          <w:i/>
          <w:sz w:val="24"/>
          <w:szCs w:val="24"/>
        </w:rPr>
        <w:t>áfa-alapot</w:t>
      </w:r>
      <w:r w:rsidR="008766DC" w:rsidRPr="00413518">
        <w:rPr>
          <w:rFonts w:ascii="Times New Roman" w:hAnsi="Times New Roman" w:cs="Times New Roman"/>
          <w:sz w:val="24"/>
          <w:szCs w:val="24"/>
        </w:rPr>
        <w:t xml:space="preserve"> képez. Így a jövedéki adóhoz hasonlóan az ár egy részét képező energiaadóra is felszámítódik az áfa</w:t>
      </w:r>
      <w:r w:rsidR="008766DC" w:rsidRPr="00413518">
        <w:rPr>
          <w:rStyle w:val="Lbjegyzet-hivatkozs"/>
          <w:sz w:val="24"/>
          <w:szCs w:val="24"/>
        </w:rPr>
        <w:footnoteReference w:id="188"/>
      </w:r>
      <w:r w:rsidR="00460FDE">
        <w:rPr>
          <w:rFonts w:ascii="Times New Roman" w:hAnsi="Times New Roman" w:cs="Times New Roman"/>
          <w:sz w:val="24"/>
          <w:szCs w:val="24"/>
        </w:rPr>
        <w:t>.</w:t>
      </w:r>
      <w:r w:rsidR="00CB0E0C" w:rsidRPr="00413518">
        <w:rPr>
          <w:rFonts w:ascii="Times New Roman" w:hAnsi="Times New Roman" w:cs="Times New Roman"/>
          <w:sz w:val="24"/>
          <w:szCs w:val="24"/>
        </w:rPr>
        <w:tab/>
      </w:r>
    </w:p>
    <w:p w:rsidR="00C10E6B" w:rsidRPr="00413518" w:rsidRDefault="002A5FB5" w:rsidP="0069191A">
      <w:pPr>
        <w:spacing w:line="360" w:lineRule="auto"/>
        <w:jc w:val="both"/>
        <w:rPr>
          <w:rStyle w:val="Kiemels"/>
          <w:rFonts w:ascii="Times New Roman" w:hAnsi="Times New Roman" w:cs="Times New Roman"/>
        </w:rPr>
      </w:pPr>
      <w:r>
        <w:rPr>
          <w:rStyle w:val="Kiemels"/>
          <w:rFonts w:ascii="Times New Roman" w:hAnsi="Times New Roman" w:cs="Times New Roman"/>
        </w:rPr>
        <w:t>7</w:t>
      </w:r>
      <w:r w:rsidR="00793BC2" w:rsidRPr="00413518">
        <w:rPr>
          <w:rStyle w:val="Kiemels"/>
          <w:rFonts w:ascii="Times New Roman" w:hAnsi="Times New Roman" w:cs="Times New Roman"/>
        </w:rPr>
        <w:t>.Ábra</w:t>
      </w:r>
      <w:r w:rsidR="00026A20">
        <w:rPr>
          <w:rStyle w:val="Kiemels"/>
          <w:rFonts w:ascii="Times New Roman" w:hAnsi="Times New Roman" w:cs="Times New Roman"/>
        </w:rPr>
        <w:t>: A energiaadó helye a magyar környezetvédelmi adórendszerben</w:t>
      </w:r>
    </w:p>
    <w:p w:rsidR="008766DC" w:rsidRDefault="00C10E6B" w:rsidP="00BF1E2F">
      <w:pPr>
        <w:spacing w:line="360" w:lineRule="auto"/>
        <w:jc w:val="both"/>
        <w:rPr>
          <w:rFonts w:ascii="Times New Roman" w:hAnsi="Times New Roman" w:cs="Times New Roman"/>
          <w:sz w:val="24"/>
          <w:szCs w:val="24"/>
        </w:rPr>
      </w:pPr>
      <w:r w:rsidRPr="00413518">
        <w:rPr>
          <w:rFonts w:ascii="Times New Roman" w:hAnsi="Times New Roman" w:cs="Times New Roman"/>
          <w:noProof/>
          <w:sz w:val="24"/>
          <w:szCs w:val="24"/>
        </w:rPr>
        <w:drawing>
          <wp:inline distT="0" distB="0" distL="0" distR="0">
            <wp:extent cx="5486400" cy="3200400"/>
            <wp:effectExtent l="0" t="0" r="0" b="19050"/>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rsidR="008766DC" w:rsidRPr="0045517C" w:rsidRDefault="00026A20" w:rsidP="0069191A">
      <w:pPr>
        <w:spacing w:line="360" w:lineRule="auto"/>
        <w:jc w:val="both"/>
        <w:rPr>
          <w:rStyle w:val="Kiemels"/>
          <w:rFonts w:ascii="Times New Roman" w:hAnsi="Times New Roman" w:cs="Times New Roman"/>
          <w:b w:val="0"/>
          <w:bCs w:val="0"/>
          <w:i w:val="0"/>
          <w:iCs w:val="0"/>
          <w:spacing w:val="0"/>
          <w:sz w:val="24"/>
          <w:szCs w:val="24"/>
        </w:rPr>
      </w:pP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sidR="00254408">
        <w:rPr>
          <w:rFonts w:ascii="Times New Roman" w:hAnsi="Times New Roman" w:cs="Times New Roman"/>
          <w:b/>
          <w:i/>
          <w:sz w:val="24"/>
          <w:szCs w:val="24"/>
        </w:rPr>
        <w:t>Forrás</w:t>
      </w:r>
      <w:r>
        <w:rPr>
          <w:rFonts w:ascii="Times New Roman" w:hAnsi="Times New Roman" w:cs="Times New Roman"/>
          <w:b/>
          <w:i/>
          <w:sz w:val="24"/>
          <w:szCs w:val="24"/>
        </w:rPr>
        <w:t xml:space="preserve">: </w:t>
      </w:r>
      <w:r>
        <w:rPr>
          <w:rFonts w:ascii="Times New Roman" w:hAnsi="Times New Roman" w:cs="Times New Roman"/>
          <w:sz w:val="24"/>
          <w:szCs w:val="24"/>
        </w:rPr>
        <w:t>saját szerkesztés</w:t>
      </w:r>
      <w:r>
        <w:rPr>
          <w:rFonts w:ascii="Times New Roman" w:hAnsi="Times New Roman" w:cs="Times New Roman"/>
          <w:sz w:val="24"/>
          <w:szCs w:val="24"/>
        </w:rPr>
        <w:tab/>
      </w:r>
      <w:r w:rsidR="0045517C">
        <w:rPr>
          <w:rFonts w:ascii="Times New Roman" w:hAnsi="Times New Roman" w:cs="Times New Roman"/>
          <w:sz w:val="24"/>
          <w:szCs w:val="24"/>
        </w:rPr>
        <w:br/>
      </w:r>
      <w:r>
        <w:rPr>
          <w:rFonts w:ascii="Times New Roman" w:hAnsi="Times New Roman" w:cs="Times New Roman"/>
          <w:sz w:val="24"/>
          <w:szCs w:val="24"/>
        </w:rPr>
        <w:tab/>
      </w:r>
      <w:r w:rsidR="008766DC" w:rsidRPr="00413518">
        <w:rPr>
          <w:rFonts w:ascii="Times New Roman" w:hAnsi="Times New Roman" w:cs="Times New Roman"/>
          <w:sz w:val="24"/>
          <w:szCs w:val="24"/>
        </w:rPr>
        <w:t xml:space="preserve">Az adó tárgya nem más, mint az </w:t>
      </w:r>
      <w:r w:rsidR="008766DC" w:rsidRPr="00413518">
        <w:rPr>
          <w:rFonts w:ascii="Times New Roman" w:hAnsi="Times New Roman" w:cs="Times New Roman"/>
          <w:i/>
          <w:sz w:val="24"/>
          <w:szCs w:val="24"/>
        </w:rPr>
        <w:t>energia</w:t>
      </w:r>
      <w:r w:rsidR="008766DC" w:rsidRPr="00413518">
        <w:rPr>
          <w:rFonts w:ascii="Times New Roman" w:hAnsi="Times New Roman" w:cs="Times New Roman"/>
          <w:sz w:val="24"/>
          <w:szCs w:val="24"/>
        </w:rPr>
        <w:t xml:space="preserve">. Az energia a szabályozásban egy gyűjtőfogalmat jelent, amely három energiahordozót takar: (1) villamos energia; (2) földgáz; (3) szén. Kezdetben csupán az első két pontban megjelölt energiatermékre vonatkozott az adófizetési kötelezettség, hiszen a szénre átmeneti mentességet kapott az országunk.  A szén adómentességét alapvetően szociális és gazdasági megfontolások alapján vonták ki az adófizetési kötelezettség alól. Az uniós direktíva nem ad lehetőséget a teljes kivonás alól, ezért Magyarország tárgyalásokat folytatott azért, hogy átmeneti mentességet </w:t>
      </w:r>
      <w:r w:rsidR="00B925D5">
        <w:rPr>
          <w:rFonts w:ascii="Times New Roman" w:hAnsi="Times New Roman" w:cs="Times New Roman"/>
          <w:sz w:val="24"/>
          <w:szCs w:val="24"/>
        </w:rPr>
        <w:t>szerezzen</w:t>
      </w:r>
      <w:r w:rsidR="008766DC" w:rsidRPr="00413518">
        <w:rPr>
          <w:rFonts w:ascii="Times New Roman" w:hAnsi="Times New Roman" w:cs="Times New Roman"/>
          <w:sz w:val="24"/>
          <w:szCs w:val="24"/>
        </w:rPr>
        <w:t>. Ez a kedvezményünk 2009. január 1-ig tartott</w:t>
      </w:r>
      <w:r w:rsidR="008766DC" w:rsidRPr="00413518">
        <w:rPr>
          <w:rStyle w:val="Lbjegyzet-hivatkozs"/>
          <w:sz w:val="24"/>
          <w:szCs w:val="24"/>
        </w:rPr>
        <w:footnoteReference w:id="189"/>
      </w:r>
      <w:r w:rsidR="008766DC" w:rsidRPr="00413518">
        <w:rPr>
          <w:rFonts w:ascii="Times New Roman" w:hAnsi="Times New Roman" w:cs="Times New Roman"/>
          <w:sz w:val="24"/>
          <w:szCs w:val="24"/>
        </w:rPr>
        <w:t xml:space="preserve">. Számos Uniós országban az adó hatálya alá tartoznak az ásványolajtermékek, de hazánkban a kőolaj és </w:t>
      </w:r>
      <w:r w:rsidR="004F4EE5" w:rsidRPr="00413518">
        <w:rPr>
          <w:rFonts w:ascii="Times New Roman" w:hAnsi="Times New Roman" w:cs="Times New Roman"/>
          <w:sz w:val="24"/>
          <w:szCs w:val="24"/>
        </w:rPr>
        <w:t xml:space="preserve">a </w:t>
      </w:r>
      <w:r w:rsidR="008766DC" w:rsidRPr="00413518">
        <w:rPr>
          <w:rFonts w:ascii="Times New Roman" w:hAnsi="Times New Roman" w:cs="Times New Roman"/>
          <w:sz w:val="24"/>
          <w:szCs w:val="24"/>
        </w:rPr>
        <w:t>földgáz adóztatása a jöv</w:t>
      </w:r>
      <w:r w:rsidR="00460FDE">
        <w:rPr>
          <w:rFonts w:ascii="Times New Roman" w:hAnsi="Times New Roman" w:cs="Times New Roman"/>
          <w:sz w:val="24"/>
          <w:szCs w:val="24"/>
        </w:rPr>
        <w:t>edéki adó hatálya alá tartozik.</w:t>
      </w:r>
      <w:r w:rsidR="008766DC" w:rsidRPr="00413518">
        <w:rPr>
          <w:rFonts w:ascii="Times New Roman" w:hAnsi="Times New Roman" w:cs="Times New Roman"/>
          <w:sz w:val="24"/>
          <w:szCs w:val="24"/>
        </w:rPr>
        <w:tab/>
      </w:r>
      <w:r w:rsidR="008766DC" w:rsidRPr="00413518">
        <w:rPr>
          <w:rFonts w:ascii="Times New Roman" w:hAnsi="Times New Roman" w:cs="Times New Roman"/>
          <w:sz w:val="24"/>
          <w:szCs w:val="24"/>
        </w:rPr>
        <w:br/>
      </w:r>
      <w:r w:rsidR="008766DC" w:rsidRPr="00413518">
        <w:rPr>
          <w:rFonts w:ascii="Times New Roman" w:hAnsi="Times New Roman" w:cs="Times New Roman"/>
          <w:sz w:val="24"/>
          <w:szCs w:val="24"/>
        </w:rPr>
        <w:tab/>
        <w:t xml:space="preserve">A törvény differenciálja az </w:t>
      </w:r>
      <w:r w:rsidR="008766DC" w:rsidRPr="00B925D5">
        <w:rPr>
          <w:rFonts w:ascii="Times New Roman" w:hAnsi="Times New Roman" w:cs="Times New Roman"/>
          <w:i/>
          <w:sz w:val="24"/>
          <w:szCs w:val="24"/>
        </w:rPr>
        <w:t>adóalanyokat</w:t>
      </w:r>
      <w:r w:rsidR="008766DC" w:rsidRPr="00413518">
        <w:rPr>
          <w:rFonts w:ascii="Times New Roman" w:hAnsi="Times New Roman" w:cs="Times New Roman"/>
          <w:sz w:val="24"/>
          <w:szCs w:val="24"/>
        </w:rPr>
        <w:t xml:space="preserve">, és az adókötelezettségük keletkezését. </w:t>
      </w:r>
      <w:r w:rsidR="0045517C" w:rsidRPr="00413518">
        <w:rPr>
          <w:rFonts w:ascii="Times New Roman" w:hAnsi="Times New Roman" w:cs="Times New Roman"/>
          <w:sz w:val="24"/>
          <w:szCs w:val="24"/>
        </w:rPr>
        <w:t>Az Etv.</w:t>
      </w:r>
      <w:r w:rsidR="0045517C">
        <w:rPr>
          <w:rFonts w:ascii="Times New Roman" w:hAnsi="Times New Roman" w:cs="Times New Roman"/>
          <w:sz w:val="24"/>
          <w:szCs w:val="24"/>
        </w:rPr>
        <w:t xml:space="preserve"> </w:t>
      </w:r>
      <w:r w:rsidR="0045517C" w:rsidRPr="00413518">
        <w:rPr>
          <w:rFonts w:ascii="Times New Roman" w:hAnsi="Times New Roman" w:cs="Times New Roman"/>
          <w:sz w:val="24"/>
          <w:szCs w:val="24"/>
        </w:rPr>
        <w:t xml:space="preserve">szabályozása értelmében az </w:t>
      </w:r>
      <w:r w:rsidR="0045517C" w:rsidRPr="00B925D5">
        <w:rPr>
          <w:rFonts w:ascii="Times New Roman" w:hAnsi="Times New Roman" w:cs="Times New Roman"/>
          <w:i/>
          <w:sz w:val="24"/>
          <w:szCs w:val="24"/>
        </w:rPr>
        <w:t>adókötelezettség</w:t>
      </w:r>
      <w:r w:rsidR="0045517C" w:rsidRPr="00413518">
        <w:rPr>
          <w:rFonts w:ascii="Times New Roman" w:hAnsi="Times New Roman" w:cs="Times New Roman"/>
          <w:sz w:val="24"/>
          <w:szCs w:val="24"/>
        </w:rPr>
        <w:t xml:space="preserve"> több elemet ötvöz. Az elemek együttes fennállása esetén kell az adóalanyoknak meghatározott tevékenységük után, bizonyos energia </w:t>
      </w:r>
      <w:r w:rsidR="0045517C" w:rsidRPr="00413518">
        <w:rPr>
          <w:rFonts w:ascii="Times New Roman" w:hAnsi="Times New Roman" w:cs="Times New Roman"/>
          <w:sz w:val="24"/>
          <w:szCs w:val="24"/>
        </w:rPr>
        <w:lastRenderedPageBreak/>
        <w:t xml:space="preserve">mennyiség alapján </w:t>
      </w:r>
      <w:r w:rsidR="0045517C">
        <w:rPr>
          <w:rFonts w:ascii="Times New Roman" w:hAnsi="Times New Roman" w:cs="Times New Roman"/>
          <w:sz w:val="24"/>
          <w:szCs w:val="24"/>
        </w:rPr>
        <w:t xml:space="preserve">energiaadót </w:t>
      </w:r>
      <w:r w:rsidR="0045517C" w:rsidRPr="00413518">
        <w:rPr>
          <w:rFonts w:ascii="Times New Roman" w:hAnsi="Times New Roman" w:cs="Times New Roman"/>
          <w:sz w:val="24"/>
          <w:szCs w:val="24"/>
        </w:rPr>
        <w:t>fizetniük, amely pénzösszeg a központi költségvetést illeti m</w:t>
      </w:r>
      <w:r w:rsidR="0045517C">
        <w:rPr>
          <w:rFonts w:ascii="Times New Roman" w:hAnsi="Times New Roman" w:cs="Times New Roman"/>
          <w:sz w:val="24"/>
          <w:szCs w:val="24"/>
        </w:rPr>
        <w:t xml:space="preserve">eg. </w:t>
      </w:r>
      <w:r w:rsidR="008766DC" w:rsidRPr="00413518">
        <w:rPr>
          <w:rFonts w:ascii="Times New Roman" w:hAnsi="Times New Roman" w:cs="Times New Roman"/>
          <w:sz w:val="24"/>
          <w:szCs w:val="24"/>
        </w:rPr>
        <w:t xml:space="preserve">A </w:t>
      </w:r>
      <w:r w:rsidR="004F4EE5" w:rsidRPr="00413518">
        <w:rPr>
          <w:rFonts w:ascii="Times New Roman" w:hAnsi="Times New Roman" w:cs="Times New Roman"/>
          <w:sz w:val="24"/>
          <w:szCs w:val="24"/>
        </w:rPr>
        <w:t>környezetvédelmi adóztatás</w:t>
      </w:r>
      <w:r w:rsidR="008766DC" w:rsidRPr="00413518">
        <w:rPr>
          <w:rFonts w:ascii="Times New Roman" w:hAnsi="Times New Roman" w:cs="Times New Roman"/>
          <w:sz w:val="24"/>
          <w:szCs w:val="24"/>
        </w:rPr>
        <w:t xml:space="preserve"> célkitűzéseihez igazodva az adó azt a személyt kell, hogy terhelje, aki az energiaterméket ténylegesen felhasználja, elfogyasztja. Az uniós irányelv rendelkezései alapján, továbbá az adóigazgatási szempontok miatt a felhasználók széles köre nem tehető adóalannyá, ezért az adóteher rájuk közvetetten jelenik meg, </w:t>
      </w:r>
      <w:r w:rsidR="0045517C">
        <w:rPr>
          <w:rFonts w:ascii="Times New Roman" w:hAnsi="Times New Roman" w:cs="Times New Roman"/>
          <w:sz w:val="24"/>
          <w:szCs w:val="24"/>
        </w:rPr>
        <w:t>így</w:t>
      </w:r>
      <w:r w:rsidR="008766DC" w:rsidRPr="00413518">
        <w:rPr>
          <w:rFonts w:ascii="Times New Roman" w:hAnsi="Times New Roman" w:cs="Times New Roman"/>
          <w:sz w:val="24"/>
          <w:szCs w:val="24"/>
        </w:rPr>
        <w:t xml:space="preserve"> az adóalany személye – a közvetett adók sajátosságaként - elválik az adóterhet ténylegesen viselőtől</w:t>
      </w:r>
      <w:r w:rsidR="008766DC" w:rsidRPr="00413518">
        <w:rPr>
          <w:rStyle w:val="Lbjegyzet-hivatkozs"/>
          <w:sz w:val="24"/>
          <w:szCs w:val="24"/>
        </w:rPr>
        <w:footnoteReference w:id="190"/>
      </w:r>
      <w:r w:rsidR="008766DC" w:rsidRPr="00413518">
        <w:rPr>
          <w:rFonts w:ascii="Times New Roman" w:hAnsi="Times New Roman" w:cs="Times New Roman"/>
          <w:sz w:val="24"/>
          <w:szCs w:val="24"/>
        </w:rPr>
        <w:t xml:space="preserve">. A törvény három alanyi kört különböztet meg, akiket összességében </w:t>
      </w:r>
      <w:r w:rsidR="008766DC" w:rsidRPr="00413518">
        <w:rPr>
          <w:rFonts w:ascii="Times New Roman" w:hAnsi="Times New Roman" w:cs="Times New Roman"/>
          <w:i/>
          <w:sz w:val="24"/>
          <w:szCs w:val="24"/>
        </w:rPr>
        <w:t>adóalanyoknak</w:t>
      </w:r>
      <w:r w:rsidR="008766DC" w:rsidRPr="00413518">
        <w:rPr>
          <w:rStyle w:val="Lbjegyzet-hivatkozs"/>
          <w:i/>
          <w:sz w:val="24"/>
          <w:szCs w:val="24"/>
        </w:rPr>
        <w:footnoteReference w:id="191"/>
      </w:r>
      <w:r w:rsidR="008766DC" w:rsidRPr="00413518">
        <w:rPr>
          <w:rFonts w:ascii="Times New Roman" w:hAnsi="Times New Roman" w:cs="Times New Roman"/>
          <w:sz w:val="24"/>
          <w:szCs w:val="24"/>
        </w:rPr>
        <w:t xml:space="preserve"> nevez: (1) energiakereskedő</w:t>
      </w:r>
      <w:r w:rsidR="008766DC" w:rsidRPr="00413518">
        <w:rPr>
          <w:rStyle w:val="Lbjegyzet-hivatkozs"/>
          <w:sz w:val="24"/>
          <w:szCs w:val="24"/>
        </w:rPr>
        <w:footnoteReference w:id="192"/>
      </w:r>
      <w:r w:rsidR="008766DC" w:rsidRPr="00413518">
        <w:rPr>
          <w:rFonts w:ascii="Times New Roman" w:hAnsi="Times New Roman" w:cs="Times New Roman"/>
          <w:sz w:val="24"/>
          <w:szCs w:val="24"/>
        </w:rPr>
        <w:t>; (2) felhasználó</w:t>
      </w:r>
      <w:r w:rsidR="008766DC" w:rsidRPr="00413518">
        <w:rPr>
          <w:rStyle w:val="Lbjegyzet-hivatkozs"/>
          <w:sz w:val="24"/>
          <w:szCs w:val="24"/>
        </w:rPr>
        <w:footnoteReference w:id="193"/>
      </w:r>
      <w:r w:rsidR="008766DC" w:rsidRPr="00413518">
        <w:rPr>
          <w:rFonts w:ascii="Times New Roman" w:hAnsi="Times New Roman" w:cs="Times New Roman"/>
          <w:sz w:val="24"/>
          <w:szCs w:val="24"/>
        </w:rPr>
        <w:t xml:space="preserve">; (3) előállító. Az </w:t>
      </w:r>
      <w:r w:rsidR="008766DC" w:rsidRPr="00413518">
        <w:rPr>
          <w:rFonts w:ascii="Times New Roman" w:hAnsi="Times New Roman" w:cs="Times New Roman"/>
          <w:i/>
          <w:sz w:val="24"/>
          <w:szCs w:val="24"/>
        </w:rPr>
        <w:t>energiakereskedő</w:t>
      </w:r>
      <w:r w:rsidR="00B925D5">
        <w:rPr>
          <w:rFonts w:ascii="Times New Roman" w:hAnsi="Times New Roman" w:cs="Times New Roman"/>
          <w:sz w:val="24"/>
          <w:szCs w:val="24"/>
        </w:rPr>
        <w:t xml:space="preserve"> fizetési kötelezettsége</w:t>
      </w:r>
      <w:r w:rsidR="008766DC" w:rsidRPr="00413518">
        <w:rPr>
          <w:rFonts w:ascii="Times New Roman" w:hAnsi="Times New Roman" w:cs="Times New Roman"/>
          <w:sz w:val="24"/>
          <w:szCs w:val="24"/>
        </w:rPr>
        <w:t xml:space="preserve">, </w:t>
      </w:r>
      <w:r w:rsidR="00B925D5">
        <w:rPr>
          <w:rFonts w:ascii="Times New Roman" w:hAnsi="Times New Roman" w:cs="Times New Roman"/>
          <w:sz w:val="24"/>
          <w:szCs w:val="24"/>
        </w:rPr>
        <w:t>vagy a felhasználóknak történő energiaértékesítéssel, vagy pedig a saját célra történő energia felhasználással keletkezik.</w:t>
      </w:r>
      <w:r w:rsidR="008766DC" w:rsidRPr="00413518">
        <w:rPr>
          <w:rStyle w:val="Lbjegyzet-hivatkozs"/>
          <w:sz w:val="24"/>
          <w:szCs w:val="24"/>
        </w:rPr>
        <w:footnoteReference w:id="194"/>
      </w:r>
      <w:r w:rsidR="004F4EE5" w:rsidRPr="00413518">
        <w:rPr>
          <w:rFonts w:ascii="Times New Roman" w:hAnsi="Times New Roman" w:cs="Times New Roman"/>
          <w:sz w:val="24"/>
          <w:szCs w:val="24"/>
        </w:rPr>
        <w:t xml:space="preserve">. Nem tartozik </w:t>
      </w:r>
      <w:r w:rsidR="008766DC" w:rsidRPr="00413518">
        <w:rPr>
          <w:rFonts w:ascii="Times New Roman" w:hAnsi="Times New Roman" w:cs="Times New Roman"/>
          <w:sz w:val="24"/>
          <w:szCs w:val="24"/>
        </w:rPr>
        <w:t>fizetési kötelezettséggel akkor, amikor lakossági fogyasztókn</w:t>
      </w:r>
      <w:r w:rsidR="00B925D5">
        <w:rPr>
          <w:rFonts w:ascii="Times New Roman" w:hAnsi="Times New Roman" w:cs="Times New Roman"/>
          <w:sz w:val="24"/>
          <w:szCs w:val="24"/>
        </w:rPr>
        <w:t xml:space="preserve">ak értékesít energiát, </w:t>
      </w:r>
      <w:r w:rsidR="008766DC" w:rsidRPr="00413518">
        <w:rPr>
          <w:rFonts w:ascii="Times New Roman" w:hAnsi="Times New Roman" w:cs="Times New Roman"/>
          <w:sz w:val="24"/>
          <w:szCs w:val="24"/>
        </w:rPr>
        <w:t>hiszen ezen felhasználók szerepe abban speciális, hogy ők saját háztartásuk fogyasztásának céljaira vásárolnak energiát és a vásárolt energiával nem folytatnak jövedelemszerzésre alkalmas tevékenységet</w:t>
      </w:r>
      <w:r w:rsidR="008766DC" w:rsidRPr="00413518">
        <w:rPr>
          <w:rStyle w:val="Lbjegyzet-hivatkozs"/>
          <w:sz w:val="24"/>
          <w:szCs w:val="24"/>
        </w:rPr>
        <w:footnoteReference w:id="195"/>
      </w:r>
      <w:r w:rsidR="008766DC" w:rsidRPr="00413518">
        <w:rPr>
          <w:rFonts w:ascii="Times New Roman" w:hAnsi="Times New Roman" w:cs="Times New Roman"/>
          <w:sz w:val="24"/>
          <w:szCs w:val="24"/>
        </w:rPr>
        <w:t xml:space="preserve">. A </w:t>
      </w:r>
      <w:r w:rsidR="008766DC" w:rsidRPr="00413518">
        <w:rPr>
          <w:rFonts w:ascii="Times New Roman" w:hAnsi="Times New Roman" w:cs="Times New Roman"/>
          <w:i/>
          <w:sz w:val="24"/>
          <w:szCs w:val="24"/>
        </w:rPr>
        <w:t>felhasználó</w:t>
      </w:r>
      <w:r w:rsidR="008766DC" w:rsidRPr="00413518">
        <w:rPr>
          <w:rFonts w:ascii="Times New Roman" w:hAnsi="Times New Roman" w:cs="Times New Roman"/>
          <w:sz w:val="24"/>
          <w:szCs w:val="24"/>
        </w:rPr>
        <w:t xml:space="preserve"> esetében erősen differenciált a fizetési kötelezettség, az alapvetően három fő mozzanathoz kötődik. Első esetben a felhasználó adófizetési kötelezettsége azáltal keletkezik, hogy belföldön közvetlenül a termelőtől</w:t>
      </w:r>
      <w:r w:rsidR="008766DC" w:rsidRPr="00413518">
        <w:rPr>
          <w:rStyle w:val="Lbjegyzet-hivatkozs"/>
          <w:sz w:val="24"/>
          <w:szCs w:val="24"/>
        </w:rPr>
        <w:footnoteReference w:id="196"/>
      </w:r>
      <w:r w:rsidR="008766DC" w:rsidRPr="00413518">
        <w:rPr>
          <w:rFonts w:ascii="Times New Roman" w:hAnsi="Times New Roman" w:cs="Times New Roman"/>
          <w:sz w:val="24"/>
          <w:szCs w:val="24"/>
        </w:rPr>
        <w:t>, vagy a szervezett piacról</w:t>
      </w:r>
      <w:r w:rsidR="008766DC" w:rsidRPr="00413518">
        <w:rPr>
          <w:rStyle w:val="Lbjegyzet-hivatkozs"/>
          <w:sz w:val="24"/>
          <w:szCs w:val="24"/>
        </w:rPr>
        <w:footnoteReference w:id="197"/>
      </w:r>
      <w:r w:rsidR="008766DC" w:rsidRPr="00413518">
        <w:rPr>
          <w:rFonts w:ascii="Times New Roman" w:hAnsi="Times New Roman" w:cs="Times New Roman"/>
          <w:sz w:val="24"/>
          <w:szCs w:val="24"/>
        </w:rPr>
        <w:t xml:space="preserve"> energiát vásárol.</w:t>
      </w:r>
      <w:r w:rsidR="008527F7">
        <w:rPr>
          <w:rFonts w:ascii="Times New Roman" w:hAnsi="Times New Roman" w:cs="Times New Roman"/>
          <w:sz w:val="24"/>
          <w:szCs w:val="24"/>
        </w:rPr>
        <w:t xml:space="preserve"> </w:t>
      </w:r>
      <w:r w:rsidR="008766DC" w:rsidRPr="00413518">
        <w:rPr>
          <w:rFonts w:ascii="Times New Roman" w:hAnsi="Times New Roman" w:cs="Times New Roman"/>
          <w:sz w:val="24"/>
          <w:szCs w:val="24"/>
        </w:rPr>
        <w:t xml:space="preserve">Ilyen esetekben az adókötelezettség a feljogosított fogyasztónak az energia előállítójától (erőműtől) vagy a szervezett piacról történő vásárlással keletkezik. Szintén a jogalkotó törvényi kivételként jelöli meg a lakossági fogyasztó vásárlását. Az EU-s csatlakozásunk miatt a másik két eset </w:t>
      </w:r>
      <w:r w:rsidR="00E23F1B">
        <w:rPr>
          <w:rFonts w:ascii="Times New Roman" w:hAnsi="Times New Roman" w:cs="Times New Roman"/>
          <w:sz w:val="24"/>
          <w:szCs w:val="24"/>
        </w:rPr>
        <w:t>az Európai Unióhoz kapcsolódik:</w:t>
      </w:r>
      <w:r w:rsidR="008527F7">
        <w:rPr>
          <w:rFonts w:ascii="Times New Roman" w:hAnsi="Times New Roman" w:cs="Times New Roman"/>
          <w:sz w:val="24"/>
          <w:szCs w:val="24"/>
        </w:rPr>
        <w:tab/>
      </w:r>
      <w:r w:rsidR="008527F7">
        <w:rPr>
          <w:rFonts w:ascii="Times New Roman" w:hAnsi="Times New Roman" w:cs="Times New Roman"/>
          <w:sz w:val="24"/>
          <w:szCs w:val="24"/>
        </w:rPr>
        <w:br/>
      </w:r>
      <w:r w:rsidR="008527F7">
        <w:rPr>
          <w:rFonts w:ascii="Times New Roman" w:hAnsi="Times New Roman" w:cs="Times New Roman"/>
          <w:sz w:val="24"/>
          <w:szCs w:val="24"/>
        </w:rPr>
        <w:tab/>
      </w:r>
      <w:r w:rsidR="00E23F1B">
        <w:rPr>
          <w:rFonts w:ascii="Times New Roman" w:hAnsi="Times New Roman" w:cs="Times New Roman"/>
          <w:sz w:val="24"/>
          <w:szCs w:val="24"/>
        </w:rPr>
        <w:t xml:space="preserve">(1) </w:t>
      </w:r>
      <w:r w:rsidR="008766DC" w:rsidRPr="00413518">
        <w:rPr>
          <w:rFonts w:ascii="Times New Roman" w:hAnsi="Times New Roman" w:cs="Times New Roman"/>
          <w:sz w:val="24"/>
          <w:szCs w:val="24"/>
        </w:rPr>
        <w:t>amikor a felhasználó az EU más tagállamából vásárol energiát;</w:t>
      </w:r>
      <w:r w:rsidR="0045517C">
        <w:rPr>
          <w:rFonts w:ascii="Times New Roman" w:hAnsi="Times New Roman" w:cs="Times New Roman"/>
          <w:sz w:val="24"/>
          <w:szCs w:val="24"/>
        </w:rPr>
        <w:br/>
      </w:r>
      <w:r w:rsidR="0045517C">
        <w:rPr>
          <w:rFonts w:ascii="Times New Roman" w:hAnsi="Times New Roman" w:cs="Times New Roman"/>
          <w:sz w:val="24"/>
          <w:szCs w:val="24"/>
        </w:rPr>
        <w:tab/>
      </w:r>
      <w:r w:rsidR="00E23F1B">
        <w:rPr>
          <w:rFonts w:ascii="Times New Roman" w:hAnsi="Times New Roman" w:cs="Times New Roman"/>
          <w:sz w:val="24"/>
          <w:szCs w:val="24"/>
        </w:rPr>
        <w:t>(2)</w:t>
      </w:r>
      <w:r w:rsidR="008766DC" w:rsidRPr="00413518">
        <w:rPr>
          <w:rFonts w:ascii="Times New Roman" w:hAnsi="Times New Roman" w:cs="Times New Roman"/>
          <w:sz w:val="24"/>
          <w:szCs w:val="24"/>
        </w:rPr>
        <w:t>és amikor a felhasználó EU-n kívüli, ún. harmadi</w:t>
      </w:r>
      <w:r w:rsidR="004F4EE5" w:rsidRPr="00413518">
        <w:rPr>
          <w:rFonts w:ascii="Times New Roman" w:hAnsi="Times New Roman" w:cs="Times New Roman"/>
          <w:sz w:val="24"/>
          <w:szCs w:val="24"/>
        </w:rPr>
        <w:t>k országból vásárol energiát.</w:t>
      </w:r>
      <w:r w:rsidR="0045517C">
        <w:rPr>
          <w:rFonts w:ascii="Times New Roman" w:hAnsi="Times New Roman" w:cs="Times New Roman"/>
          <w:sz w:val="24"/>
          <w:szCs w:val="24"/>
        </w:rPr>
        <w:br/>
      </w:r>
      <w:r w:rsidR="008766DC" w:rsidRPr="00413518">
        <w:rPr>
          <w:rFonts w:ascii="Times New Roman" w:hAnsi="Times New Roman" w:cs="Times New Roman"/>
          <w:sz w:val="24"/>
          <w:szCs w:val="24"/>
        </w:rPr>
        <w:t xml:space="preserve">Ezt az energia </w:t>
      </w:r>
      <w:r w:rsidR="008766DC" w:rsidRPr="00413518">
        <w:rPr>
          <w:rFonts w:ascii="Times New Roman" w:hAnsi="Times New Roman" w:cs="Times New Roman"/>
          <w:i/>
          <w:sz w:val="24"/>
          <w:szCs w:val="24"/>
        </w:rPr>
        <w:t>import</w:t>
      </w:r>
      <w:r w:rsidR="008766DC" w:rsidRPr="00413518">
        <w:rPr>
          <w:rFonts w:ascii="Times New Roman" w:hAnsi="Times New Roman" w:cs="Times New Roman"/>
          <w:sz w:val="24"/>
          <w:szCs w:val="24"/>
        </w:rPr>
        <w:t>álásának nevezzük. Amennyiben az importáló továbbadási céllal importál, a</w:t>
      </w:r>
      <w:r w:rsidR="004F4EE5" w:rsidRPr="00413518">
        <w:rPr>
          <w:rFonts w:ascii="Times New Roman" w:hAnsi="Times New Roman" w:cs="Times New Roman"/>
          <w:sz w:val="24"/>
          <w:szCs w:val="24"/>
        </w:rPr>
        <w:t xml:space="preserve"> vámkezeléskor nem kell az adót meg</w:t>
      </w:r>
      <w:r w:rsidR="008766DC" w:rsidRPr="00413518">
        <w:rPr>
          <w:rFonts w:ascii="Times New Roman" w:hAnsi="Times New Roman" w:cs="Times New Roman"/>
          <w:sz w:val="24"/>
          <w:szCs w:val="24"/>
        </w:rPr>
        <w:t>fizetni</w:t>
      </w:r>
      <w:r w:rsidR="004F4EE5" w:rsidRPr="00413518">
        <w:rPr>
          <w:rFonts w:ascii="Times New Roman" w:hAnsi="Times New Roman" w:cs="Times New Roman"/>
          <w:sz w:val="24"/>
          <w:szCs w:val="24"/>
        </w:rPr>
        <w:t>e</w:t>
      </w:r>
      <w:r w:rsidR="008766DC" w:rsidRPr="00413518">
        <w:rPr>
          <w:rFonts w:ascii="Times New Roman" w:hAnsi="Times New Roman" w:cs="Times New Roman"/>
          <w:sz w:val="24"/>
          <w:szCs w:val="24"/>
        </w:rPr>
        <w:t>, az adókötelezettség majd a forgalmazás későbbi fázisában fog keletkezni. A jogalkotó szintén törvényi kivételként jelöli meg a lakossági fogyasztók körét, hiszen az előző két esetben, hogy ha ilyen személy vásárol energiát tagállamból, vagy harmadik országból az adómentességet eredményez</w:t>
      </w:r>
      <w:r w:rsidR="008766DC" w:rsidRPr="00413518">
        <w:rPr>
          <w:rStyle w:val="Lbjegyzet-hivatkozs"/>
          <w:sz w:val="24"/>
          <w:szCs w:val="24"/>
        </w:rPr>
        <w:footnoteReference w:id="198"/>
      </w:r>
      <w:r w:rsidR="008766DC" w:rsidRPr="00413518">
        <w:rPr>
          <w:rFonts w:ascii="Times New Roman" w:hAnsi="Times New Roman" w:cs="Times New Roman"/>
          <w:sz w:val="24"/>
          <w:szCs w:val="24"/>
        </w:rPr>
        <w:t xml:space="preserve">. Ezen kívül </w:t>
      </w:r>
      <w:r w:rsidR="008766DC" w:rsidRPr="00413518">
        <w:rPr>
          <w:rFonts w:ascii="Times New Roman" w:hAnsi="Times New Roman" w:cs="Times New Roman"/>
          <w:sz w:val="24"/>
          <w:szCs w:val="24"/>
        </w:rPr>
        <w:lastRenderedPageBreak/>
        <w:t>a törvény két kisebb esetkört is említ:</w:t>
      </w:r>
      <w:r w:rsidR="0045546C">
        <w:rPr>
          <w:rFonts w:ascii="Times New Roman" w:hAnsi="Times New Roman" w:cs="Times New Roman"/>
          <w:sz w:val="24"/>
          <w:szCs w:val="24"/>
        </w:rPr>
        <w:tab/>
      </w:r>
      <w:r w:rsidR="008766DC" w:rsidRPr="00413518">
        <w:rPr>
          <w:rFonts w:ascii="Times New Roman" w:hAnsi="Times New Roman" w:cs="Times New Roman"/>
          <w:sz w:val="24"/>
          <w:szCs w:val="24"/>
        </w:rPr>
        <w:t xml:space="preserve"> </w:t>
      </w:r>
      <w:r w:rsidR="0045546C">
        <w:rPr>
          <w:rFonts w:ascii="Times New Roman" w:hAnsi="Times New Roman" w:cs="Times New Roman"/>
          <w:sz w:val="24"/>
          <w:szCs w:val="24"/>
        </w:rPr>
        <w:br/>
      </w:r>
      <w:r w:rsidR="0045546C">
        <w:rPr>
          <w:rFonts w:ascii="Times New Roman" w:hAnsi="Times New Roman" w:cs="Times New Roman"/>
          <w:sz w:val="24"/>
          <w:szCs w:val="24"/>
        </w:rPr>
        <w:tab/>
        <w:t xml:space="preserve">(1) </w:t>
      </w:r>
      <w:r w:rsidR="008766DC" w:rsidRPr="00413518">
        <w:rPr>
          <w:rFonts w:ascii="Times New Roman" w:hAnsi="Times New Roman" w:cs="Times New Roman"/>
          <w:sz w:val="24"/>
          <w:szCs w:val="24"/>
        </w:rPr>
        <w:t>ha a felhasználó energiaadóval nem terhelt energiát vásárol, vagy használ fel;</w:t>
      </w:r>
      <w:r w:rsidR="0045546C">
        <w:rPr>
          <w:rFonts w:ascii="Times New Roman" w:hAnsi="Times New Roman" w:cs="Times New Roman"/>
          <w:sz w:val="24"/>
          <w:szCs w:val="24"/>
        </w:rPr>
        <w:tab/>
      </w:r>
      <w:r w:rsidR="0045546C">
        <w:rPr>
          <w:rFonts w:ascii="Times New Roman" w:hAnsi="Times New Roman" w:cs="Times New Roman"/>
          <w:sz w:val="24"/>
          <w:szCs w:val="24"/>
        </w:rPr>
        <w:br/>
      </w:r>
      <w:r w:rsidR="0045546C">
        <w:rPr>
          <w:rFonts w:ascii="Times New Roman" w:hAnsi="Times New Roman" w:cs="Times New Roman"/>
          <w:sz w:val="24"/>
          <w:szCs w:val="24"/>
        </w:rPr>
        <w:tab/>
      </w:r>
      <w:r w:rsidR="008766DC" w:rsidRPr="00413518">
        <w:rPr>
          <w:rFonts w:ascii="Times New Roman" w:hAnsi="Times New Roman" w:cs="Times New Roman"/>
          <w:sz w:val="24"/>
          <w:szCs w:val="24"/>
        </w:rPr>
        <w:t>(2) ha szén vásárlásakor valótlan nyilatkozatot tesz az energiakereskedőnek arról, hogy</w:t>
      </w:r>
      <w:r w:rsidR="00E23F1B">
        <w:rPr>
          <w:rFonts w:ascii="Times New Roman" w:hAnsi="Times New Roman" w:cs="Times New Roman"/>
          <w:sz w:val="24"/>
          <w:szCs w:val="24"/>
        </w:rPr>
        <w:tab/>
      </w:r>
      <w:r w:rsidR="008766DC" w:rsidRPr="00413518">
        <w:rPr>
          <w:rFonts w:ascii="Times New Roman" w:hAnsi="Times New Roman" w:cs="Times New Roman"/>
          <w:sz w:val="24"/>
          <w:szCs w:val="24"/>
        </w:rPr>
        <w:t>lakossági fogyasztó.</w:t>
      </w:r>
      <w:r w:rsidR="0045546C">
        <w:rPr>
          <w:rFonts w:ascii="Times New Roman" w:hAnsi="Times New Roman" w:cs="Times New Roman"/>
          <w:sz w:val="24"/>
          <w:szCs w:val="24"/>
        </w:rPr>
        <w:tab/>
      </w:r>
      <w:r w:rsidR="0045546C">
        <w:rPr>
          <w:rFonts w:ascii="Times New Roman" w:hAnsi="Times New Roman" w:cs="Times New Roman"/>
          <w:sz w:val="24"/>
          <w:szCs w:val="24"/>
        </w:rPr>
        <w:br/>
      </w:r>
      <w:r w:rsidR="008766DC" w:rsidRPr="00413518">
        <w:rPr>
          <w:rFonts w:ascii="Times New Roman" w:hAnsi="Times New Roman" w:cs="Times New Roman"/>
          <w:sz w:val="24"/>
          <w:szCs w:val="24"/>
        </w:rPr>
        <w:t>A</w:t>
      </w:r>
      <w:r w:rsidR="0045546C">
        <w:rPr>
          <w:rFonts w:ascii="Times New Roman" w:hAnsi="Times New Roman" w:cs="Times New Roman"/>
          <w:sz w:val="24"/>
          <w:szCs w:val="24"/>
        </w:rPr>
        <w:t xml:space="preserve"> harmadik alanyi kör az </w:t>
      </w:r>
      <w:r w:rsidR="008766DC" w:rsidRPr="00413518">
        <w:rPr>
          <w:rFonts w:ascii="Times New Roman" w:hAnsi="Times New Roman" w:cs="Times New Roman"/>
          <w:i/>
          <w:sz w:val="24"/>
          <w:szCs w:val="24"/>
        </w:rPr>
        <w:t>előállító</w:t>
      </w:r>
      <w:r w:rsidR="0045546C">
        <w:rPr>
          <w:rFonts w:ascii="Times New Roman" w:hAnsi="Times New Roman" w:cs="Times New Roman"/>
          <w:i/>
          <w:sz w:val="24"/>
          <w:szCs w:val="24"/>
        </w:rPr>
        <w:t xml:space="preserve">. </w:t>
      </w:r>
      <w:r w:rsidR="0045546C">
        <w:rPr>
          <w:rFonts w:ascii="Times New Roman" w:hAnsi="Times New Roman" w:cs="Times New Roman"/>
          <w:sz w:val="24"/>
          <w:szCs w:val="24"/>
        </w:rPr>
        <w:t xml:space="preserve">Ilyen személynek </w:t>
      </w:r>
      <w:r w:rsidR="008766DC" w:rsidRPr="00413518">
        <w:rPr>
          <w:rFonts w:ascii="Times New Roman" w:hAnsi="Times New Roman" w:cs="Times New Roman"/>
          <w:sz w:val="24"/>
          <w:szCs w:val="24"/>
        </w:rPr>
        <w:t xml:space="preserve">kell tekinteni azt, aki energiát saját felhasználásra termel, állít elő. Ez a mozzanat elegendő arra, hogy az előállítónak adófizetési kötelezettsége keletkezzen. Egyes esetekben a törvény </w:t>
      </w:r>
      <w:r w:rsidR="0045546C">
        <w:rPr>
          <w:rFonts w:ascii="Times New Roman" w:hAnsi="Times New Roman" w:cs="Times New Roman"/>
          <w:sz w:val="24"/>
          <w:szCs w:val="24"/>
        </w:rPr>
        <w:t>kivételeket állapít meg.</w:t>
      </w:r>
      <w:r w:rsidR="008766DC" w:rsidRPr="00413518">
        <w:rPr>
          <w:rFonts w:ascii="Times New Roman" w:hAnsi="Times New Roman" w:cs="Times New Roman"/>
          <w:sz w:val="24"/>
          <w:szCs w:val="24"/>
        </w:rPr>
        <w:t xml:space="preserve"> Az Etv. 3. § f) pontjában felsorolt kivételek környezetpolitikai indokokat jelenítenek meg, annak érdekében, hogy az energiafelhasználás csökkenjen, a megújuló energiák felhasználási ar</w:t>
      </w:r>
      <w:r w:rsidR="00460FDE">
        <w:rPr>
          <w:rFonts w:ascii="Times New Roman" w:hAnsi="Times New Roman" w:cs="Times New Roman"/>
          <w:sz w:val="24"/>
          <w:szCs w:val="24"/>
        </w:rPr>
        <w:t>ánya javuljon.</w:t>
      </w:r>
      <w:r w:rsidR="008766DC" w:rsidRPr="00413518">
        <w:rPr>
          <w:rFonts w:ascii="Times New Roman" w:hAnsi="Times New Roman" w:cs="Times New Roman"/>
          <w:sz w:val="24"/>
          <w:szCs w:val="24"/>
        </w:rPr>
        <w:br/>
      </w:r>
      <w:r w:rsidR="008766DC" w:rsidRPr="00413518">
        <w:rPr>
          <w:rFonts w:ascii="Times New Roman" w:hAnsi="Times New Roman" w:cs="Times New Roman"/>
          <w:sz w:val="24"/>
          <w:szCs w:val="24"/>
        </w:rPr>
        <w:tab/>
        <w:t xml:space="preserve">Az energiaadó az energia termékek mennyiségére kivetett adó. Az energiaadó </w:t>
      </w:r>
      <w:r w:rsidR="008766DC" w:rsidRPr="00413518">
        <w:rPr>
          <w:rFonts w:ascii="Times New Roman" w:hAnsi="Times New Roman" w:cs="Times New Roman"/>
          <w:i/>
          <w:sz w:val="24"/>
          <w:szCs w:val="24"/>
        </w:rPr>
        <w:t>alapja</w:t>
      </w:r>
      <w:r w:rsidR="008766DC" w:rsidRPr="00413518">
        <w:rPr>
          <w:rStyle w:val="Lbjegyzet-hivatkozs"/>
          <w:i/>
          <w:sz w:val="24"/>
          <w:szCs w:val="24"/>
        </w:rPr>
        <w:footnoteReference w:id="199"/>
      </w:r>
      <w:r w:rsidR="008766DC" w:rsidRPr="00413518">
        <w:rPr>
          <w:rFonts w:ascii="Times New Roman" w:hAnsi="Times New Roman" w:cs="Times New Roman"/>
          <w:sz w:val="24"/>
          <w:szCs w:val="24"/>
        </w:rPr>
        <w:t xml:space="preserve"> az energiaköteles termékek mennyisége, a villamos energia esetében megawattórában, a földgáz esetében </w:t>
      </w:r>
      <w:r w:rsidR="00F07551" w:rsidRPr="00413518">
        <w:rPr>
          <w:rFonts w:ascii="Times New Roman" w:hAnsi="Times New Roman" w:cs="Times New Roman"/>
          <w:sz w:val="24"/>
          <w:szCs w:val="24"/>
        </w:rPr>
        <w:t>giga joule-ban</w:t>
      </w:r>
      <w:r w:rsidR="008766DC" w:rsidRPr="00413518">
        <w:rPr>
          <w:rFonts w:ascii="Times New Roman" w:hAnsi="Times New Roman" w:cs="Times New Roman"/>
          <w:sz w:val="24"/>
          <w:szCs w:val="24"/>
        </w:rPr>
        <w:t xml:space="preserve">, a szén esetében ezer kilógrammban mérve meghatározott mennyiség. </w:t>
      </w:r>
      <w:r w:rsidR="008766DC" w:rsidRPr="00413518">
        <w:rPr>
          <w:rFonts w:ascii="Times New Roman" w:hAnsi="Times New Roman" w:cs="Times New Roman"/>
          <w:i/>
          <w:sz w:val="24"/>
          <w:szCs w:val="24"/>
        </w:rPr>
        <w:t>Mértéke</w:t>
      </w:r>
      <w:r w:rsidR="008766DC" w:rsidRPr="00413518">
        <w:rPr>
          <w:rStyle w:val="Lbjegyzet-hivatkozs"/>
          <w:i/>
          <w:sz w:val="24"/>
          <w:szCs w:val="24"/>
        </w:rPr>
        <w:footnoteReference w:id="200"/>
      </w:r>
      <w:r w:rsidR="008766DC" w:rsidRPr="00413518">
        <w:rPr>
          <w:rFonts w:ascii="Times New Roman" w:hAnsi="Times New Roman" w:cs="Times New Roman"/>
          <w:sz w:val="24"/>
          <w:szCs w:val="24"/>
        </w:rPr>
        <w:t xml:space="preserve"> magyar forintban van meghatározva, így a befizetendő összeget úgy kapjuk, hogy az adó alapját beszorozzuk annak mértékével. Jelenleg hatályos törvényünk rendelkezése szerint villamos energia esetében 295 Ft/ MWh, földgáznál 88,5 Ft/GJ,</w:t>
      </w:r>
      <w:r w:rsidR="00460FDE">
        <w:rPr>
          <w:rFonts w:ascii="Times New Roman" w:hAnsi="Times New Roman" w:cs="Times New Roman"/>
          <w:sz w:val="24"/>
          <w:szCs w:val="24"/>
        </w:rPr>
        <w:t xml:space="preserve"> szénnél pedig 2390 Ft/1000 kg.</w:t>
      </w:r>
      <w:r w:rsidR="008766DC" w:rsidRPr="00413518">
        <w:rPr>
          <w:rFonts w:ascii="Times New Roman" w:hAnsi="Times New Roman" w:cs="Times New Roman"/>
          <w:sz w:val="24"/>
          <w:szCs w:val="24"/>
        </w:rPr>
        <w:tab/>
      </w:r>
      <w:r w:rsidR="004F4EE5" w:rsidRPr="00413518">
        <w:rPr>
          <w:rFonts w:ascii="Times New Roman" w:hAnsi="Times New Roman" w:cs="Times New Roman"/>
          <w:sz w:val="24"/>
          <w:szCs w:val="24"/>
        </w:rPr>
        <w:br/>
      </w:r>
      <w:r w:rsidR="004F4EE5" w:rsidRPr="00413518">
        <w:rPr>
          <w:rFonts w:ascii="Times New Roman" w:hAnsi="Times New Roman" w:cs="Times New Roman"/>
          <w:sz w:val="24"/>
          <w:szCs w:val="24"/>
        </w:rPr>
        <w:tab/>
        <w:t xml:space="preserve">Hasonlóan a tagállami gyakorlathoz, Magyarországon is lehetőség van </w:t>
      </w:r>
      <w:r w:rsidR="004F4EE5" w:rsidRPr="00413518">
        <w:rPr>
          <w:rFonts w:ascii="Times New Roman" w:hAnsi="Times New Roman" w:cs="Times New Roman"/>
          <w:i/>
          <w:sz w:val="24"/>
          <w:szCs w:val="24"/>
        </w:rPr>
        <w:t xml:space="preserve">adó-visszaigényléssel </w:t>
      </w:r>
      <w:r w:rsidR="004F4EE5" w:rsidRPr="00413518">
        <w:rPr>
          <w:rFonts w:ascii="Times New Roman" w:hAnsi="Times New Roman" w:cs="Times New Roman"/>
          <w:sz w:val="24"/>
          <w:szCs w:val="24"/>
        </w:rPr>
        <w:t xml:space="preserve">élni. </w:t>
      </w:r>
      <w:r w:rsidR="0045546C">
        <w:rPr>
          <w:rFonts w:ascii="Times New Roman" w:hAnsi="Times New Roman" w:cs="Times New Roman"/>
          <w:sz w:val="24"/>
          <w:szCs w:val="24"/>
        </w:rPr>
        <w:t>Ennek első esete</w:t>
      </w:r>
      <w:r w:rsidR="008766DC" w:rsidRPr="00413518">
        <w:rPr>
          <w:rFonts w:ascii="Times New Roman" w:hAnsi="Times New Roman" w:cs="Times New Roman"/>
          <w:sz w:val="24"/>
          <w:szCs w:val="24"/>
        </w:rPr>
        <w:t>, amikor villamos energia előállításához használnak fel energiatermékeket</w:t>
      </w:r>
      <w:r w:rsidR="008766DC" w:rsidRPr="00413518">
        <w:rPr>
          <w:rStyle w:val="Lbjegyzet-hivatkozs"/>
          <w:sz w:val="24"/>
          <w:szCs w:val="24"/>
        </w:rPr>
        <w:footnoteReference w:id="201"/>
      </w:r>
      <w:r w:rsidR="008766DC" w:rsidRPr="00413518">
        <w:rPr>
          <w:rFonts w:ascii="Times New Roman" w:hAnsi="Times New Roman" w:cs="Times New Roman"/>
          <w:sz w:val="24"/>
          <w:szCs w:val="24"/>
        </w:rPr>
        <w:t xml:space="preserve">. A jogalkotó a </w:t>
      </w:r>
      <w:r w:rsidR="008766DC" w:rsidRPr="0007002D">
        <w:rPr>
          <w:rFonts w:ascii="Times New Roman" w:hAnsi="Times New Roman" w:cs="Times New Roman"/>
          <w:i/>
          <w:sz w:val="24"/>
          <w:szCs w:val="24"/>
        </w:rPr>
        <w:t>kettős adóztatás</w:t>
      </w:r>
      <w:r w:rsidR="008766DC" w:rsidRPr="00413518">
        <w:rPr>
          <w:rFonts w:ascii="Times New Roman" w:hAnsi="Times New Roman" w:cs="Times New Roman"/>
          <w:sz w:val="24"/>
          <w:szCs w:val="24"/>
        </w:rPr>
        <w:t xml:space="preserve"> elkerülése érdekében alakította ki ezt a lehetőséget, hiszen maga az energiatermék beszerzése és a villamos energia előállítása adóköte</w:t>
      </w:r>
      <w:r w:rsidR="006464B7">
        <w:rPr>
          <w:rFonts w:ascii="Times New Roman" w:hAnsi="Times New Roman" w:cs="Times New Roman"/>
          <w:sz w:val="24"/>
          <w:szCs w:val="24"/>
        </w:rPr>
        <w:t xml:space="preserve">les. Így ha a villamos energiát előállították, </w:t>
      </w:r>
      <w:r w:rsidR="008766DC" w:rsidRPr="00413518">
        <w:rPr>
          <w:rFonts w:ascii="Times New Roman" w:hAnsi="Times New Roman" w:cs="Times New Roman"/>
          <w:sz w:val="24"/>
          <w:szCs w:val="24"/>
        </w:rPr>
        <w:t>a beszerzéskor megfizetett adó kés</w:t>
      </w:r>
      <w:r w:rsidR="006464B7">
        <w:rPr>
          <w:rFonts w:ascii="Times New Roman" w:hAnsi="Times New Roman" w:cs="Times New Roman"/>
          <w:sz w:val="24"/>
          <w:szCs w:val="24"/>
        </w:rPr>
        <w:t>őbb visszaigényelhető</w:t>
      </w:r>
      <w:r w:rsidR="008766DC" w:rsidRPr="00413518">
        <w:rPr>
          <w:rFonts w:ascii="Times New Roman" w:hAnsi="Times New Roman" w:cs="Times New Roman"/>
          <w:sz w:val="24"/>
          <w:szCs w:val="24"/>
        </w:rPr>
        <w:t xml:space="preserve">, </w:t>
      </w:r>
      <w:r w:rsidR="006464B7">
        <w:rPr>
          <w:rFonts w:ascii="Times New Roman" w:hAnsi="Times New Roman" w:cs="Times New Roman"/>
          <w:sz w:val="24"/>
          <w:szCs w:val="24"/>
        </w:rPr>
        <w:t xml:space="preserve">és az energiaadót </w:t>
      </w:r>
      <w:r w:rsidR="008766DC" w:rsidRPr="00413518">
        <w:rPr>
          <w:rFonts w:ascii="Times New Roman" w:hAnsi="Times New Roman" w:cs="Times New Roman"/>
          <w:sz w:val="24"/>
          <w:szCs w:val="24"/>
        </w:rPr>
        <w:t>az előállí</w:t>
      </w:r>
      <w:r w:rsidR="006464B7">
        <w:rPr>
          <w:rFonts w:ascii="Times New Roman" w:hAnsi="Times New Roman" w:cs="Times New Roman"/>
          <w:sz w:val="24"/>
          <w:szCs w:val="24"/>
        </w:rPr>
        <w:t>tott villamos energia után kell meg</w:t>
      </w:r>
      <w:r w:rsidR="008766DC" w:rsidRPr="00413518">
        <w:rPr>
          <w:rFonts w:ascii="Times New Roman" w:hAnsi="Times New Roman" w:cs="Times New Roman"/>
          <w:sz w:val="24"/>
          <w:szCs w:val="24"/>
        </w:rPr>
        <w:t>fizetni</w:t>
      </w:r>
      <w:r w:rsidR="008766DC" w:rsidRPr="00413518">
        <w:rPr>
          <w:rStyle w:val="Lbjegyzet-hivatkozs"/>
          <w:sz w:val="24"/>
          <w:szCs w:val="24"/>
        </w:rPr>
        <w:footnoteReference w:id="202"/>
      </w:r>
      <w:r w:rsidR="008766DC" w:rsidRPr="00413518">
        <w:rPr>
          <w:rFonts w:ascii="Times New Roman" w:hAnsi="Times New Roman" w:cs="Times New Roman"/>
          <w:sz w:val="24"/>
          <w:szCs w:val="24"/>
        </w:rPr>
        <w:t>. A következő –</w:t>
      </w:r>
      <w:r w:rsidR="0007002D">
        <w:rPr>
          <w:rFonts w:ascii="Times New Roman" w:hAnsi="Times New Roman" w:cs="Times New Roman"/>
          <w:sz w:val="24"/>
          <w:szCs w:val="24"/>
        </w:rPr>
        <w:t xml:space="preserve"> </w:t>
      </w:r>
      <w:r w:rsidR="006464B7">
        <w:rPr>
          <w:rFonts w:ascii="Times New Roman" w:hAnsi="Times New Roman" w:cs="Times New Roman"/>
          <w:sz w:val="24"/>
          <w:szCs w:val="24"/>
        </w:rPr>
        <w:t xml:space="preserve">a törvény  b) pontja – </w:t>
      </w:r>
      <w:r w:rsidR="008766DC" w:rsidRPr="00413518">
        <w:rPr>
          <w:rFonts w:ascii="Times New Roman" w:hAnsi="Times New Roman" w:cs="Times New Roman"/>
          <w:sz w:val="24"/>
          <w:szCs w:val="24"/>
        </w:rPr>
        <w:t xml:space="preserve">az erőműveknek és a személyeknek </w:t>
      </w:r>
      <w:r w:rsidR="006464B7" w:rsidRPr="00413518">
        <w:rPr>
          <w:rFonts w:ascii="Times New Roman" w:hAnsi="Times New Roman" w:cs="Times New Roman"/>
          <w:sz w:val="24"/>
          <w:szCs w:val="24"/>
        </w:rPr>
        <w:t xml:space="preserve">biztosít </w:t>
      </w:r>
      <w:r w:rsidR="008766DC" w:rsidRPr="00413518">
        <w:rPr>
          <w:rFonts w:ascii="Times New Roman" w:hAnsi="Times New Roman" w:cs="Times New Roman"/>
          <w:sz w:val="24"/>
          <w:szCs w:val="24"/>
        </w:rPr>
        <w:t>lehetőséget arra, hogy a  kapcsolt hő – és villamos energia felhasználásához a felhasznált</w:t>
      </w:r>
      <w:r w:rsidR="00656387" w:rsidRPr="00413518">
        <w:rPr>
          <w:rFonts w:ascii="Times New Roman" w:hAnsi="Times New Roman" w:cs="Times New Roman"/>
          <w:sz w:val="24"/>
          <w:szCs w:val="24"/>
        </w:rPr>
        <w:t>,</w:t>
      </w:r>
      <w:r w:rsidR="008766DC" w:rsidRPr="00413518">
        <w:rPr>
          <w:rFonts w:ascii="Times New Roman" w:hAnsi="Times New Roman" w:cs="Times New Roman"/>
          <w:sz w:val="24"/>
          <w:szCs w:val="24"/>
        </w:rPr>
        <w:t xml:space="preserve"> adózott energiatermék adóját szintén, az előbbi szisztéma értelmében visszaigényelhetik</w:t>
      </w:r>
      <w:r w:rsidR="008766DC" w:rsidRPr="00413518">
        <w:rPr>
          <w:rStyle w:val="Lbjegyzet-hivatkozs"/>
          <w:sz w:val="24"/>
          <w:szCs w:val="24"/>
        </w:rPr>
        <w:footnoteReference w:id="203"/>
      </w:r>
      <w:r w:rsidR="006464B7">
        <w:rPr>
          <w:rFonts w:ascii="Times New Roman" w:hAnsi="Times New Roman" w:cs="Times New Roman"/>
          <w:sz w:val="24"/>
          <w:szCs w:val="24"/>
        </w:rPr>
        <w:t>. Egy másik eset</w:t>
      </w:r>
      <w:r w:rsidR="008766DC" w:rsidRPr="00413518">
        <w:rPr>
          <w:rFonts w:ascii="Times New Roman" w:hAnsi="Times New Roman" w:cs="Times New Roman"/>
          <w:sz w:val="24"/>
          <w:szCs w:val="24"/>
        </w:rPr>
        <w:t xml:space="preserve">, amikor a távhő szolgáltatók és a külön rendelet szerint központi fűtés és </w:t>
      </w:r>
      <w:r w:rsidR="00986992" w:rsidRPr="00413518">
        <w:rPr>
          <w:rFonts w:ascii="Times New Roman" w:hAnsi="Times New Roman" w:cs="Times New Roman"/>
          <w:sz w:val="24"/>
          <w:szCs w:val="24"/>
        </w:rPr>
        <w:t>meleg víz</w:t>
      </w:r>
      <w:r w:rsidR="008766DC" w:rsidRPr="00413518">
        <w:rPr>
          <w:rFonts w:ascii="Times New Roman" w:hAnsi="Times New Roman" w:cs="Times New Roman"/>
          <w:sz w:val="24"/>
          <w:szCs w:val="24"/>
        </w:rPr>
        <w:t xml:space="preserve"> szolgáltatásra jogosult vállalkozások az adót visszaigényelhetik</w:t>
      </w:r>
      <w:r w:rsidR="008766DC" w:rsidRPr="00413518">
        <w:rPr>
          <w:rStyle w:val="Lbjegyzet-hivatkozs"/>
          <w:sz w:val="24"/>
          <w:szCs w:val="24"/>
        </w:rPr>
        <w:footnoteReference w:id="204"/>
      </w:r>
      <w:r w:rsidR="008766DC" w:rsidRPr="00413518">
        <w:rPr>
          <w:rFonts w:ascii="Times New Roman" w:hAnsi="Times New Roman" w:cs="Times New Roman"/>
          <w:sz w:val="24"/>
          <w:szCs w:val="24"/>
        </w:rPr>
        <w:t xml:space="preserve">. Erre csakis akkor van lehetőségük, ha a lakosság irányába végzik a szolgáltató tevékenységüket, </w:t>
      </w:r>
      <w:r w:rsidR="0007002D">
        <w:rPr>
          <w:rFonts w:ascii="Times New Roman" w:hAnsi="Times New Roman" w:cs="Times New Roman"/>
          <w:sz w:val="24"/>
          <w:szCs w:val="24"/>
        </w:rPr>
        <w:t xml:space="preserve">amely csak akkor </w:t>
      </w:r>
      <w:r w:rsidR="0007002D">
        <w:rPr>
          <w:rFonts w:ascii="Times New Roman" w:hAnsi="Times New Roman" w:cs="Times New Roman"/>
          <w:sz w:val="24"/>
          <w:szCs w:val="24"/>
        </w:rPr>
        <w:lastRenderedPageBreak/>
        <w:t>lehetséges, ha az</w:t>
      </w:r>
      <w:r w:rsidR="008766DC" w:rsidRPr="00413518">
        <w:rPr>
          <w:rFonts w:ascii="Times New Roman" w:hAnsi="Times New Roman" w:cs="Times New Roman"/>
          <w:sz w:val="24"/>
          <w:szCs w:val="24"/>
        </w:rPr>
        <w:t xml:space="preserve"> a központi fűtés és meleg</w:t>
      </w:r>
      <w:r w:rsidR="00986992">
        <w:rPr>
          <w:rFonts w:ascii="Times New Roman" w:hAnsi="Times New Roman" w:cs="Times New Roman"/>
          <w:sz w:val="24"/>
          <w:szCs w:val="24"/>
        </w:rPr>
        <w:t xml:space="preserve"> </w:t>
      </w:r>
      <w:r w:rsidR="008766DC" w:rsidRPr="00413518">
        <w:rPr>
          <w:rFonts w:ascii="Times New Roman" w:hAnsi="Times New Roman" w:cs="Times New Roman"/>
          <w:sz w:val="24"/>
          <w:szCs w:val="24"/>
        </w:rPr>
        <w:t>víz előállítására felhasznált energia kapcsán</w:t>
      </w:r>
      <w:r w:rsidR="008766DC" w:rsidRPr="00413518">
        <w:rPr>
          <w:rStyle w:val="Lbjegyzet-hivatkozs"/>
          <w:sz w:val="24"/>
          <w:szCs w:val="24"/>
        </w:rPr>
        <w:footnoteReference w:id="205"/>
      </w:r>
      <w:r w:rsidR="0007002D">
        <w:rPr>
          <w:rFonts w:ascii="Times New Roman" w:hAnsi="Times New Roman" w:cs="Times New Roman"/>
          <w:sz w:val="24"/>
          <w:szCs w:val="24"/>
        </w:rPr>
        <w:t xml:space="preserve"> valósul meg</w:t>
      </w:r>
      <w:r w:rsidR="00656387" w:rsidRPr="00413518">
        <w:rPr>
          <w:rFonts w:ascii="Times New Roman" w:hAnsi="Times New Roman" w:cs="Times New Roman"/>
          <w:sz w:val="24"/>
          <w:szCs w:val="24"/>
        </w:rPr>
        <w:t>. A következő eseteket</w:t>
      </w:r>
      <w:r w:rsidR="008766DC" w:rsidRPr="00413518">
        <w:rPr>
          <w:rFonts w:ascii="Times New Roman" w:hAnsi="Times New Roman" w:cs="Times New Roman"/>
          <w:sz w:val="24"/>
          <w:szCs w:val="24"/>
        </w:rPr>
        <w:t xml:space="preserve"> összefoglaló névvel illethetjük, hiszen ezek a szabályok az egyes ipari felhasználókra vonatkoznak</w:t>
      </w:r>
      <w:r w:rsidR="008766DC" w:rsidRPr="00413518">
        <w:rPr>
          <w:rStyle w:val="Lbjegyzet-hivatkozs"/>
          <w:sz w:val="24"/>
          <w:szCs w:val="24"/>
        </w:rPr>
        <w:footnoteReference w:id="206"/>
      </w:r>
      <w:r w:rsidR="008766DC" w:rsidRPr="00413518">
        <w:rPr>
          <w:rFonts w:ascii="Times New Roman" w:hAnsi="Times New Roman" w:cs="Times New Roman"/>
          <w:sz w:val="24"/>
          <w:szCs w:val="24"/>
        </w:rPr>
        <w:t xml:space="preserve">. A szabályozás a szénre vonatkozó két ponttal </w:t>
      </w:r>
      <w:r w:rsidR="00656387" w:rsidRPr="00413518">
        <w:rPr>
          <w:rFonts w:ascii="Times New Roman" w:hAnsi="Times New Roman" w:cs="Times New Roman"/>
          <w:sz w:val="24"/>
          <w:szCs w:val="24"/>
        </w:rPr>
        <w:t xml:space="preserve">egészült ki 2009. január 1-től. </w:t>
      </w:r>
      <w:r w:rsidR="008766DC" w:rsidRPr="00413518">
        <w:rPr>
          <w:rFonts w:ascii="Times New Roman" w:hAnsi="Times New Roman" w:cs="Times New Roman"/>
          <w:sz w:val="24"/>
          <w:szCs w:val="24"/>
        </w:rPr>
        <w:t>E sz</w:t>
      </w:r>
      <w:r w:rsidR="00986992">
        <w:rPr>
          <w:rFonts w:ascii="Times New Roman" w:hAnsi="Times New Roman" w:cs="Times New Roman"/>
          <w:sz w:val="24"/>
          <w:szCs w:val="24"/>
        </w:rPr>
        <w:t xml:space="preserve">erint visszaigényelhető az adó </w:t>
      </w:r>
      <w:r w:rsidR="006464B7">
        <w:rPr>
          <w:rFonts w:ascii="Times New Roman" w:hAnsi="Times New Roman" w:cs="Times New Roman"/>
          <w:sz w:val="24"/>
          <w:szCs w:val="24"/>
        </w:rPr>
        <w:t>a kohászati felhasználás</w:t>
      </w:r>
      <w:r w:rsidR="008766DC" w:rsidRPr="00413518">
        <w:rPr>
          <w:rFonts w:ascii="Times New Roman" w:hAnsi="Times New Roman" w:cs="Times New Roman"/>
          <w:sz w:val="24"/>
          <w:szCs w:val="24"/>
        </w:rPr>
        <w:t>ra</w:t>
      </w:r>
      <w:r w:rsidR="008766DC" w:rsidRPr="00413518">
        <w:rPr>
          <w:rStyle w:val="Lbjegyzet-hivatkozs"/>
          <w:sz w:val="24"/>
          <w:szCs w:val="24"/>
        </w:rPr>
        <w:footnoteReference w:id="207"/>
      </w:r>
      <w:r w:rsidR="008766DC" w:rsidRPr="00413518">
        <w:rPr>
          <w:rFonts w:ascii="Times New Roman" w:hAnsi="Times New Roman" w:cs="Times New Roman"/>
          <w:sz w:val="24"/>
          <w:szCs w:val="24"/>
        </w:rPr>
        <w:t>, továbbá a fölgáznak a vegyipari termékek alapanyagaként történő felhasználására, a hálózati veszteség pótlására felhasznált energia után, és azon szén mennyiség</w:t>
      </w:r>
      <w:r w:rsidR="006464B7">
        <w:rPr>
          <w:rFonts w:ascii="Times New Roman" w:hAnsi="Times New Roman" w:cs="Times New Roman"/>
          <w:sz w:val="24"/>
          <w:szCs w:val="24"/>
        </w:rPr>
        <w:t>e</w:t>
      </w:r>
      <w:r w:rsidR="008766DC" w:rsidRPr="00413518">
        <w:rPr>
          <w:rFonts w:ascii="Times New Roman" w:hAnsi="Times New Roman" w:cs="Times New Roman"/>
          <w:sz w:val="24"/>
          <w:szCs w:val="24"/>
        </w:rPr>
        <w:t xml:space="preserve"> után, amelyet nem tüzelő – vag</w:t>
      </w:r>
      <w:r w:rsidR="00460FDE">
        <w:rPr>
          <w:rFonts w:ascii="Times New Roman" w:hAnsi="Times New Roman" w:cs="Times New Roman"/>
          <w:sz w:val="24"/>
          <w:szCs w:val="24"/>
        </w:rPr>
        <w:t>y fűtőanyagként használtak fel.</w:t>
      </w:r>
      <w:r w:rsidR="006464B7">
        <w:rPr>
          <w:rFonts w:ascii="Times New Roman" w:hAnsi="Times New Roman" w:cs="Times New Roman"/>
          <w:sz w:val="24"/>
          <w:szCs w:val="24"/>
        </w:rPr>
        <w:tab/>
      </w:r>
      <w:r w:rsidR="006464B7">
        <w:rPr>
          <w:rFonts w:ascii="Times New Roman" w:hAnsi="Times New Roman" w:cs="Times New Roman"/>
          <w:sz w:val="24"/>
          <w:szCs w:val="24"/>
        </w:rPr>
        <w:br/>
      </w:r>
      <w:r w:rsidR="00254408">
        <w:rPr>
          <w:rFonts w:ascii="Times New Roman" w:hAnsi="Times New Roman" w:cs="Times New Roman"/>
          <w:sz w:val="24"/>
          <w:szCs w:val="24"/>
        </w:rPr>
        <w:br/>
      </w:r>
      <w:r w:rsidR="002A5FB5">
        <w:rPr>
          <w:rStyle w:val="Kiemels"/>
          <w:rFonts w:ascii="Times New Roman" w:hAnsi="Times New Roman" w:cs="Times New Roman"/>
        </w:rPr>
        <w:t>8</w:t>
      </w:r>
      <w:r w:rsidR="00793BC2" w:rsidRPr="00413518">
        <w:rPr>
          <w:rStyle w:val="Kiemels"/>
          <w:rFonts w:ascii="Times New Roman" w:hAnsi="Times New Roman" w:cs="Times New Roman"/>
        </w:rPr>
        <w:t>.Ábra</w:t>
      </w:r>
      <w:r w:rsidR="00503A16" w:rsidRPr="00413518">
        <w:rPr>
          <w:rStyle w:val="Kiemels"/>
          <w:rFonts w:ascii="Times New Roman" w:hAnsi="Times New Roman" w:cs="Times New Roman"/>
        </w:rPr>
        <w:t>: A magyarországi környezetvédelmi adóbevételek 2009-ben, GDP %-ban</w:t>
      </w:r>
      <w:r w:rsidR="00E319C9" w:rsidRPr="00413518">
        <w:rPr>
          <w:rStyle w:val="Kiemels"/>
          <w:rFonts w:ascii="Times New Roman" w:hAnsi="Times New Roman" w:cs="Times New Roman"/>
        </w:rPr>
        <w:t>,</w:t>
      </w:r>
      <w:r w:rsidR="00503A16" w:rsidRPr="00413518">
        <w:rPr>
          <w:rStyle w:val="Kiemels"/>
          <w:rFonts w:ascii="Times New Roman" w:hAnsi="Times New Roman" w:cs="Times New Roman"/>
        </w:rPr>
        <w:t xml:space="preserve"> a háztartások és a vállalati szektor vonatkozásában</w:t>
      </w:r>
      <w:r w:rsidR="00503A16" w:rsidRPr="00413518">
        <w:rPr>
          <w:rStyle w:val="Kiemels"/>
          <w:rFonts w:ascii="Times New Roman" w:hAnsi="Times New Roman" w:cs="Times New Roman"/>
          <w:vertAlign w:val="superscript"/>
        </w:rPr>
        <w:footnoteReference w:id="208"/>
      </w:r>
      <w:r w:rsidR="00CB0E0C" w:rsidRPr="00413518">
        <w:rPr>
          <w:rStyle w:val="Kiemels"/>
          <w:rFonts w:ascii="Times New Roman" w:hAnsi="Times New Roman" w:cs="Times New Roman"/>
        </w:rPr>
        <w:tab/>
      </w:r>
    </w:p>
    <w:p w:rsidR="002F17D5" w:rsidRPr="00500343" w:rsidRDefault="00E319C9" w:rsidP="0069191A">
      <w:pPr>
        <w:spacing w:line="360" w:lineRule="auto"/>
        <w:jc w:val="both"/>
        <w:rPr>
          <w:rStyle w:val="Cmsor1Char"/>
          <w:rFonts w:ascii="Times New Roman" w:eastAsiaTheme="minorEastAsia" w:hAnsi="Times New Roman" w:cs="Times New Roman"/>
          <w:b w:val="0"/>
          <w:bCs w:val="0"/>
          <w:sz w:val="24"/>
          <w:szCs w:val="24"/>
        </w:rPr>
      </w:pPr>
      <w:r w:rsidRPr="00413518">
        <w:rPr>
          <w:rFonts w:ascii="Times New Roman" w:hAnsi="Times New Roman" w:cs="Times New Roman"/>
          <w:noProof/>
          <w:sz w:val="24"/>
          <w:szCs w:val="24"/>
        </w:rPr>
        <w:drawing>
          <wp:inline distT="0" distB="0" distL="0" distR="0">
            <wp:extent cx="5364379" cy="1695450"/>
            <wp:effectExtent l="19050" t="0" r="7721" b="0"/>
            <wp:docPr id="11" name="Kép 10" descr="hunga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ngary.JPG"/>
                    <pic:cNvPicPr/>
                  </pic:nvPicPr>
                  <pic:blipFill>
                    <a:blip r:embed="rId35" cstate="print"/>
                    <a:stretch>
                      <a:fillRect/>
                    </a:stretch>
                  </pic:blipFill>
                  <pic:spPr>
                    <a:xfrm>
                      <a:off x="0" y="0"/>
                      <a:ext cx="5364379" cy="1695450"/>
                    </a:xfrm>
                    <a:prstGeom prst="rect">
                      <a:avLst/>
                    </a:prstGeom>
                  </pic:spPr>
                </pic:pic>
              </a:graphicData>
            </a:graphic>
          </wp:inline>
        </w:drawing>
      </w:r>
      <w:r w:rsidR="00500343" w:rsidRPr="00500343">
        <w:rPr>
          <w:rFonts w:ascii="Times New Roman" w:hAnsi="Times New Roman" w:cs="Times New Roman"/>
          <w:b/>
          <w:i/>
          <w:sz w:val="24"/>
          <w:szCs w:val="24"/>
        </w:rPr>
        <w:t>Forrás</w:t>
      </w:r>
      <w:r w:rsidR="00500343">
        <w:rPr>
          <w:rFonts w:ascii="Times New Roman" w:hAnsi="Times New Roman" w:cs="Times New Roman"/>
          <w:sz w:val="24"/>
          <w:szCs w:val="24"/>
        </w:rPr>
        <w:t xml:space="preserve">: </w:t>
      </w:r>
      <w:hyperlink r:id="rId36" w:history="1">
        <w:r w:rsidR="00500343" w:rsidRPr="00500343">
          <w:rPr>
            <w:rStyle w:val="Hiperhivatkozs"/>
            <w:rFonts w:ascii="Times New Roman" w:hAnsi="Times New Roman" w:cs="Times New Roman"/>
            <w:sz w:val="24"/>
            <w:szCs w:val="24"/>
          </w:rPr>
          <w:t>www.ksh.hu/docs/eng/xftp/idoszaki/ekornyhelyzetkep11.pdf</w:t>
        </w:r>
      </w:hyperlink>
    </w:p>
    <w:p w:rsidR="002F17D5" w:rsidRDefault="002F17D5" w:rsidP="0069191A">
      <w:pPr>
        <w:spacing w:line="360" w:lineRule="auto"/>
        <w:jc w:val="both"/>
        <w:rPr>
          <w:rStyle w:val="Cmsor1Char"/>
          <w:rFonts w:ascii="Times New Roman" w:hAnsi="Times New Roman" w:cs="Times New Roman"/>
        </w:rPr>
      </w:pPr>
    </w:p>
    <w:p w:rsidR="002F17D5" w:rsidRDefault="002F17D5" w:rsidP="0069191A">
      <w:pPr>
        <w:spacing w:line="360" w:lineRule="auto"/>
        <w:jc w:val="both"/>
        <w:rPr>
          <w:rStyle w:val="Cmsor1Char"/>
          <w:rFonts w:ascii="Times New Roman" w:hAnsi="Times New Roman" w:cs="Times New Roman"/>
        </w:rPr>
      </w:pPr>
    </w:p>
    <w:p w:rsidR="002F17D5" w:rsidRDefault="002F17D5" w:rsidP="0069191A">
      <w:pPr>
        <w:spacing w:line="360" w:lineRule="auto"/>
        <w:jc w:val="both"/>
        <w:rPr>
          <w:rStyle w:val="Cmsor1Char"/>
          <w:rFonts w:ascii="Times New Roman" w:hAnsi="Times New Roman" w:cs="Times New Roman"/>
        </w:rPr>
      </w:pPr>
    </w:p>
    <w:p w:rsidR="002F17D5" w:rsidRDefault="002F17D5" w:rsidP="0069191A">
      <w:pPr>
        <w:spacing w:line="360" w:lineRule="auto"/>
        <w:jc w:val="both"/>
        <w:rPr>
          <w:rStyle w:val="Cmsor1Char"/>
          <w:rFonts w:ascii="Times New Roman" w:hAnsi="Times New Roman" w:cs="Times New Roman"/>
        </w:rPr>
      </w:pPr>
    </w:p>
    <w:p w:rsidR="00500343" w:rsidRDefault="00500343" w:rsidP="0069191A">
      <w:pPr>
        <w:spacing w:line="360" w:lineRule="auto"/>
        <w:jc w:val="both"/>
        <w:rPr>
          <w:rStyle w:val="Cmsor1Char"/>
          <w:rFonts w:ascii="Times New Roman" w:hAnsi="Times New Roman" w:cs="Times New Roman"/>
        </w:rPr>
      </w:pPr>
    </w:p>
    <w:p w:rsidR="00500343" w:rsidRDefault="00500343" w:rsidP="0069191A">
      <w:pPr>
        <w:spacing w:line="360" w:lineRule="auto"/>
        <w:jc w:val="both"/>
        <w:rPr>
          <w:rStyle w:val="Cmsor1Char"/>
          <w:rFonts w:ascii="Times New Roman" w:hAnsi="Times New Roman" w:cs="Times New Roman"/>
        </w:rPr>
      </w:pPr>
    </w:p>
    <w:p w:rsidR="00C02E75" w:rsidRPr="00385661" w:rsidRDefault="00E319C9" w:rsidP="0069191A">
      <w:pPr>
        <w:spacing w:line="360" w:lineRule="auto"/>
        <w:jc w:val="both"/>
        <w:rPr>
          <w:rStyle w:val="Kiemels"/>
          <w:rFonts w:ascii="Times New Roman" w:hAnsi="Times New Roman" w:cs="Times New Roman"/>
          <w:b w:val="0"/>
          <w:bCs w:val="0"/>
          <w:i w:val="0"/>
          <w:iCs w:val="0"/>
          <w:spacing w:val="0"/>
          <w:sz w:val="24"/>
          <w:szCs w:val="24"/>
        </w:rPr>
      </w:pPr>
      <w:bookmarkStart w:id="11" w:name="_Toc340927917"/>
      <w:r w:rsidRPr="00933263">
        <w:rPr>
          <w:rStyle w:val="Cmsor1Char"/>
          <w:rFonts w:ascii="Times New Roman" w:hAnsi="Times New Roman" w:cs="Times New Roman"/>
        </w:rPr>
        <w:lastRenderedPageBreak/>
        <w:t>ZÁRÓ GONDOLATOK</w:t>
      </w:r>
      <w:bookmarkEnd w:id="11"/>
      <w:r w:rsidR="002956E6" w:rsidRPr="00933263">
        <w:rPr>
          <w:rFonts w:ascii="Times New Roman" w:hAnsi="Times New Roman" w:cs="Times New Roman"/>
        </w:rPr>
        <w:tab/>
      </w:r>
      <w:r w:rsidR="002956E6" w:rsidRPr="00933263">
        <w:rPr>
          <w:rFonts w:ascii="Times New Roman" w:hAnsi="Times New Roman" w:cs="Times New Roman"/>
        </w:rPr>
        <w:br/>
      </w:r>
      <w:r w:rsidR="00413518" w:rsidRPr="002956E6">
        <w:br/>
      </w:r>
      <w:r w:rsidR="00C04BB2" w:rsidRPr="002956E6">
        <w:tab/>
      </w:r>
      <w:r w:rsidR="00C04BB2" w:rsidRPr="00933263">
        <w:rPr>
          <w:rFonts w:ascii="Times New Roman" w:hAnsi="Times New Roman" w:cs="Times New Roman"/>
          <w:sz w:val="24"/>
        </w:rPr>
        <w:t>Az adó kialakulásának és a tagállami érdekeknek az ismertetését, valamint az adórendszerek bemutatását követően megállapítható, hogy annak ellenére, hogy az energiaadó volt az EU szintjén az első, teljesen harmonizált adónem, mégis tagállami szinten milyen jele</w:t>
      </w:r>
      <w:r w:rsidR="002F17D5">
        <w:rPr>
          <w:rFonts w:ascii="Times New Roman" w:hAnsi="Times New Roman" w:cs="Times New Roman"/>
          <w:sz w:val="24"/>
        </w:rPr>
        <w:t>ntős eltérések mutatkoznak. E</w:t>
      </w:r>
      <w:r w:rsidR="00C04BB2" w:rsidRPr="00933263">
        <w:rPr>
          <w:rFonts w:ascii="Times New Roman" w:hAnsi="Times New Roman" w:cs="Times New Roman"/>
          <w:sz w:val="24"/>
        </w:rPr>
        <w:t xml:space="preserve">zekre tekintettel </w:t>
      </w:r>
      <w:r w:rsidR="002F17D5">
        <w:rPr>
          <w:rFonts w:ascii="Times New Roman" w:hAnsi="Times New Roman" w:cs="Times New Roman"/>
          <w:sz w:val="24"/>
        </w:rPr>
        <w:t>kijelenthető</w:t>
      </w:r>
      <w:r w:rsidR="00C04BB2" w:rsidRPr="00933263">
        <w:rPr>
          <w:rFonts w:ascii="Times New Roman" w:hAnsi="Times New Roman" w:cs="Times New Roman"/>
          <w:sz w:val="24"/>
        </w:rPr>
        <w:t>, hogy ahány tagállam van</w:t>
      </w:r>
      <w:r w:rsidR="00C22802" w:rsidRPr="00933263">
        <w:rPr>
          <w:rFonts w:ascii="Times New Roman" w:hAnsi="Times New Roman" w:cs="Times New Roman"/>
          <w:sz w:val="24"/>
        </w:rPr>
        <w:t>,</w:t>
      </w:r>
      <w:r w:rsidR="00C04BB2" w:rsidRPr="00933263">
        <w:rPr>
          <w:rFonts w:ascii="Times New Roman" w:hAnsi="Times New Roman" w:cs="Times New Roman"/>
          <w:sz w:val="24"/>
        </w:rPr>
        <w:t xml:space="preserve"> annyiféle energiaadó-rendszer létezik. A különbségek egyes esetekben </w:t>
      </w:r>
      <w:r w:rsidR="002F17D5">
        <w:rPr>
          <w:rFonts w:ascii="Times New Roman" w:hAnsi="Times New Roman" w:cs="Times New Roman"/>
          <w:sz w:val="24"/>
        </w:rPr>
        <w:t>csekélyek</w:t>
      </w:r>
      <w:r w:rsidR="00C04BB2" w:rsidRPr="00933263">
        <w:rPr>
          <w:rFonts w:ascii="Times New Roman" w:hAnsi="Times New Roman" w:cs="Times New Roman"/>
          <w:sz w:val="24"/>
        </w:rPr>
        <w:t xml:space="preserve">, mint ahogy láttuk a svédek és a németek vonatkozásában. Ebben a szférában a Skandináv és a Balti-tengeri államok az élenjáróak, de Németország is azok közé tartozik. </w:t>
      </w:r>
      <w:r w:rsidR="00C22802" w:rsidRPr="00933263">
        <w:rPr>
          <w:rFonts w:ascii="Times New Roman" w:hAnsi="Times New Roman" w:cs="Times New Roman"/>
          <w:sz w:val="24"/>
        </w:rPr>
        <w:t xml:space="preserve">Az Egyesült Királyság is a tagállamok közti lista első felében található, de a fentebb említett tagállamokkal ellentétben itt a háztartásokra nem terjed ki az adó hatálya, valamint egyedi megoldásként polgári jogi szerződéseket kötnek a vállalatok annak érdekében, hogy adókedvezményekre tegyenek szert. Hazánk hamar implementálta az irányelvet, mint a Csatlakozási Szerződésben már meghatározott </w:t>
      </w:r>
      <w:r w:rsidR="00C22802" w:rsidRPr="00D5079B">
        <w:rPr>
          <w:rFonts w:ascii="Times New Roman" w:hAnsi="Times New Roman" w:cs="Times New Roman"/>
          <w:i/>
          <w:sz w:val="24"/>
        </w:rPr>
        <w:t>acquis</w:t>
      </w:r>
      <w:r w:rsidR="00C22802" w:rsidRPr="00933263">
        <w:rPr>
          <w:rFonts w:ascii="Times New Roman" w:hAnsi="Times New Roman" w:cs="Times New Roman"/>
          <w:sz w:val="24"/>
        </w:rPr>
        <w:t xml:space="preserve"> részét, és nulláról építettük ki a rendszert, így itthon ez még új keletűnek minősül.</w:t>
      </w:r>
      <w:r w:rsidR="00964883">
        <w:rPr>
          <w:rFonts w:ascii="Times New Roman" w:hAnsi="Times New Roman" w:cs="Times New Roman"/>
          <w:sz w:val="24"/>
        </w:rPr>
        <w:t xml:space="preserve"> Álláspontom szerint a svéd megoldás szolgálja a legjobban a környezetvédelmi célok megvalósítását. A rendszer kiforrott, több évtizedes gyakorlaton alapszik. Az Uniós tagállamok számára minta értékkel bír, nem hiába vette alapul Németország az ETR megvalósításánál. Nézőpontom szerint hazánknak is a svéd modellt kellene alapul venni, hiszen </w:t>
      </w:r>
      <w:r w:rsidR="00776DB2">
        <w:rPr>
          <w:rFonts w:ascii="Times New Roman" w:hAnsi="Times New Roman" w:cs="Times New Roman"/>
          <w:sz w:val="24"/>
        </w:rPr>
        <w:t>tanulhatunk az északiak tapasztalataiból, így nem érne minket meglepetés. Az egyetlen probléma, a két ország gazdasági potenciál különbsége. Magyarországnak több évtizedet kellene ahhoz fejlődnie, hogy megvalósíthassuk a rendszert.</w:t>
      </w:r>
      <w:r w:rsidR="00776DB2">
        <w:rPr>
          <w:rFonts w:ascii="Times New Roman" w:hAnsi="Times New Roman" w:cs="Times New Roman"/>
          <w:sz w:val="24"/>
        </w:rPr>
        <w:tab/>
      </w:r>
      <w:r w:rsidR="00D5079B">
        <w:rPr>
          <w:rFonts w:ascii="Times New Roman" w:hAnsi="Times New Roman" w:cs="Times New Roman"/>
          <w:sz w:val="24"/>
        </w:rPr>
        <w:t xml:space="preserve">Az adó lehetőséget biztosít az EU számára ahhoz, hogy a nagyobb energiahatékonyságú és még inkább környezetbarát energiafogyasztás érdekében összekapcsolja az adók ösztönző szerepét a bevételteremtő képességgel. Az </w:t>
      </w:r>
      <w:r w:rsidR="00C22802" w:rsidRPr="00933263">
        <w:rPr>
          <w:rFonts w:ascii="Times New Roman" w:hAnsi="Times New Roman" w:cs="Times New Roman"/>
          <w:sz w:val="24"/>
        </w:rPr>
        <w:t>adóbevételek kezdetben növekedtek, majd visszaestek az irányelv hatálybalépését követő években. Minden tagállam vonatkozásában egységesen megállapítható, hogy a környezetvédelmi adóbevételek több mint 70%-át teszik ki az ene</w:t>
      </w:r>
      <w:r w:rsidR="002956E6" w:rsidRPr="00933263">
        <w:rPr>
          <w:rFonts w:ascii="Times New Roman" w:hAnsi="Times New Roman" w:cs="Times New Roman"/>
          <w:sz w:val="24"/>
        </w:rPr>
        <w:t>rgiaadókból származó bevételek, így a költségvetés számára a legnagyobb bevételi forrást jelentik a környezetvédelmi célok megvalósítására alkalmazott gazdasági eszközök között.</w:t>
      </w:r>
      <w:r w:rsidR="00D5079B">
        <w:rPr>
          <w:rFonts w:ascii="Times New Roman" w:hAnsi="Times New Roman" w:cs="Times New Roman"/>
          <w:sz w:val="24"/>
        </w:rPr>
        <w:tab/>
      </w:r>
      <w:r w:rsidR="00D5079B">
        <w:rPr>
          <w:rFonts w:ascii="Times New Roman" w:hAnsi="Times New Roman" w:cs="Times New Roman"/>
          <w:sz w:val="24"/>
        </w:rPr>
        <w:br/>
      </w:r>
      <w:r w:rsidR="00D5079B">
        <w:rPr>
          <w:rFonts w:ascii="Times New Roman" w:hAnsi="Times New Roman" w:cs="Times New Roman"/>
          <w:sz w:val="24"/>
        </w:rPr>
        <w:tab/>
      </w:r>
      <w:r w:rsidR="00964883">
        <w:rPr>
          <w:rFonts w:ascii="Times New Roman" w:hAnsi="Times New Roman" w:cs="Times New Roman"/>
          <w:sz w:val="24"/>
        </w:rPr>
        <w:t>A szabályozás jelenleg rugalmas, ezért s</w:t>
      </w:r>
      <w:r w:rsidR="00D5079B">
        <w:rPr>
          <w:rFonts w:ascii="Times New Roman" w:hAnsi="Times New Roman" w:cs="Times New Roman"/>
          <w:sz w:val="24"/>
        </w:rPr>
        <w:t xml:space="preserve">zükség lehet arra, hogy az adó </w:t>
      </w:r>
      <w:r w:rsidR="000D34DB">
        <w:rPr>
          <w:rFonts w:ascii="Times New Roman" w:hAnsi="Times New Roman" w:cs="Times New Roman"/>
          <w:sz w:val="24"/>
        </w:rPr>
        <w:t>egyértelműb</w:t>
      </w:r>
      <w:r w:rsidR="00BA0582">
        <w:rPr>
          <w:rFonts w:ascii="Times New Roman" w:hAnsi="Times New Roman" w:cs="Times New Roman"/>
          <w:sz w:val="24"/>
        </w:rPr>
        <w:t>b</w:t>
      </w:r>
      <w:r w:rsidR="000D34DB">
        <w:rPr>
          <w:rFonts w:ascii="Times New Roman" w:hAnsi="Times New Roman" w:cs="Times New Roman"/>
          <w:sz w:val="24"/>
        </w:rPr>
        <w:t>en</w:t>
      </w:r>
      <w:r w:rsidR="00D5079B">
        <w:rPr>
          <w:rFonts w:ascii="Times New Roman" w:hAnsi="Times New Roman" w:cs="Times New Roman"/>
          <w:sz w:val="24"/>
        </w:rPr>
        <w:t xml:space="preserve"> kapcsolódjon az EU vonatkozó szakpolitikai célkitűzéseihez. E tekintetben az egyik lehetőség az uniós adószintek energia és környezetvédelmi elemekre (vagy ezek megfelelőire) </w:t>
      </w:r>
      <w:r w:rsidR="000D34DB">
        <w:rPr>
          <w:rFonts w:ascii="Times New Roman" w:hAnsi="Times New Roman" w:cs="Times New Roman"/>
          <w:sz w:val="24"/>
        </w:rPr>
        <w:t>történő</w:t>
      </w:r>
      <w:r w:rsidR="00D5079B">
        <w:rPr>
          <w:rFonts w:ascii="Times New Roman" w:hAnsi="Times New Roman" w:cs="Times New Roman"/>
          <w:sz w:val="24"/>
        </w:rPr>
        <w:t xml:space="preserve"> beosztása lehet</w:t>
      </w:r>
      <w:r w:rsidR="00964883">
        <w:rPr>
          <w:rFonts w:ascii="Times New Roman" w:hAnsi="Times New Roman" w:cs="Times New Roman"/>
          <w:sz w:val="24"/>
        </w:rPr>
        <w:t>ne</w:t>
      </w:r>
      <w:r w:rsidR="00D5079B">
        <w:rPr>
          <w:rFonts w:ascii="Times New Roman" w:hAnsi="Times New Roman" w:cs="Times New Roman"/>
          <w:sz w:val="24"/>
        </w:rPr>
        <w:t xml:space="preserve">, ami tagállami szinten egy energiaadó és egy környezetvédelmi (kibocsátás alapú) adó formájában jelenne meg. A hatékony </w:t>
      </w:r>
      <w:r w:rsidR="00D5079B">
        <w:rPr>
          <w:rFonts w:ascii="Times New Roman" w:hAnsi="Times New Roman" w:cs="Times New Roman"/>
          <w:sz w:val="24"/>
        </w:rPr>
        <w:lastRenderedPageBreak/>
        <w:t xml:space="preserve">energiafogyasztás </w:t>
      </w:r>
      <w:r w:rsidR="00C92FB9">
        <w:rPr>
          <w:rFonts w:ascii="Times New Roman" w:hAnsi="Times New Roman" w:cs="Times New Roman"/>
          <w:sz w:val="24"/>
        </w:rPr>
        <w:t xml:space="preserve">ösztönzése és az </w:t>
      </w:r>
      <w:r w:rsidR="000D34DB">
        <w:rPr>
          <w:rFonts w:ascii="Times New Roman" w:hAnsi="Times New Roman" w:cs="Times New Roman"/>
          <w:sz w:val="24"/>
        </w:rPr>
        <w:t>energetikai</w:t>
      </w:r>
      <w:r w:rsidR="00C92FB9">
        <w:rPr>
          <w:rFonts w:ascii="Times New Roman" w:hAnsi="Times New Roman" w:cs="Times New Roman"/>
          <w:sz w:val="24"/>
        </w:rPr>
        <w:t xml:space="preserve"> termékek közötti torzulások elkerülése érdekében, az üzemanyagokat energiatartalmu</w:t>
      </w:r>
      <w:r w:rsidR="00964883">
        <w:rPr>
          <w:rFonts w:ascii="Times New Roman" w:hAnsi="Times New Roman" w:cs="Times New Roman"/>
          <w:sz w:val="24"/>
        </w:rPr>
        <w:t xml:space="preserve">k szerint kellene megadóztatni. </w:t>
      </w:r>
      <w:r w:rsidR="00C92FB9">
        <w:rPr>
          <w:rFonts w:ascii="Times New Roman" w:hAnsi="Times New Roman" w:cs="Times New Roman"/>
          <w:sz w:val="24"/>
        </w:rPr>
        <w:t xml:space="preserve">Másodszor figyelembe véve azt, hogy fűtő-és tüzelőanyagokként eltérő az égéskor </w:t>
      </w:r>
      <w:r w:rsidR="00580AF2">
        <w:rPr>
          <w:rFonts w:ascii="Times New Roman" w:hAnsi="Times New Roman" w:cs="Times New Roman"/>
          <w:sz w:val="24"/>
        </w:rPr>
        <w:t>keletkező</w:t>
      </w:r>
      <w:r w:rsidR="00C92FB9">
        <w:rPr>
          <w:rFonts w:ascii="Times New Roman" w:hAnsi="Times New Roman" w:cs="Times New Roman"/>
          <w:sz w:val="24"/>
        </w:rPr>
        <w:t xml:space="preserve"> k</w:t>
      </w:r>
      <w:r w:rsidR="00964883">
        <w:rPr>
          <w:rFonts w:ascii="Times New Roman" w:hAnsi="Times New Roman" w:cs="Times New Roman"/>
          <w:sz w:val="24"/>
        </w:rPr>
        <w:t xml:space="preserve">árosanyag-kibocsátás, ezért </w:t>
      </w:r>
      <w:r w:rsidR="00C92FB9">
        <w:rPr>
          <w:rFonts w:ascii="Times New Roman" w:hAnsi="Times New Roman" w:cs="Times New Roman"/>
          <w:sz w:val="24"/>
        </w:rPr>
        <w:t>meg kellene különb</w:t>
      </w:r>
      <w:r w:rsidR="00580AF2">
        <w:rPr>
          <w:rFonts w:ascii="Times New Roman" w:hAnsi="Times New Roman" w:cs="Times New Roman"/>
          <w:sz w:val="24"/>
        </w:rPr>
        <w:t>ö</w:t>
      </w:r>
      <w:r w:rsidR="00C92FB9">
        <w:rPr>
          <w:rFonts w:ascii="Times New Roman" w:hAnsi="Times New Roman" w:cs="Times New Roman"/>
          <w:sz w:val="24"/>
        </w:rPr>
        <w:t xml:space="preserve">ztetni egymástól az üvegházhatást okozó </w:t>
      </w:r>
      <w:r w:rsidR="00964883">
        <w:rPr>
          <w:rFonts w:ascii="Times New Roman" w:hAnsi="Times New Roman" w:cs="Times New Roman"/>
          <w:sz w:val="24"/>
        </w:rPr>
        <w:t xml:space="preserve">és nem okozó gázkibocsátásokat az adóban. </w:t>
      </w:r>
      <w:r w:rsidR="00C92FB9">
        <w:rPr>
          <w:rFonts w:ascii="Times New Roman" w:hAnsi="Times New Roman" w:cs="Times New Roman"/>
          <w:sz w:val="24"/>
        </w:rPr>
        <w:t xml:space="preserve">Egy ilyen különbségtétel </w:t>
      </w:r>
      <w:r w:rsidR="00964883">
        <w:rPr>
          <w:rFonts w:ascii="Times New Roman" w:hAnsi="Times New Roman" w:cs="Times New Roman"/>
          <w:sz w:val="24"/>
        </w:rPr>
        <w:t>előnyben részesítené a</w:t>
      </w:r>
      <w:r w:rsidR="00C92FB9">
        <w:rPr>
          <w:rFonts w:ascii="Times New Roman" w:hAnsi="Times New Roman" w:cs="Times New Roman"/>
          <w:sz w:val="24"/>
        </w:rPr>
        <w:t xml:space="preserve"> környezetbarát energiaforrások</w:t>
      </w:r>
      <w:r w:rsidR="00964883">
        <w:rPr>
          <w:rFonts w:ascii="Times New Roman" w:hAnsi="Times New Roman" w:cs="Times New Roman"/>
          <w:sz w:val="24"/>
        </w:rPr>
        <w:t>at</w:t>
      </w:r>
      <w:r w:rsidR="00C92FB9">
        <w:rPr>
          <w:rFonts w:ascii="Times New Roman" w:hAnsi="Times New Roman" w:cs="Times New Roman"/>
          <w:sz w:val="24"/>
        </w:rPr>
        <w:t>, különösen a megújuló energiaforrások</w:t>
      </w:r>
      <w:r w:rsidR="00964883">
        <w:rPr>
          <w:rFonts w:ascii="Times New Roman" w:hAnsi="Times New Roman" w:cs="Times New Roman"/>
          <w:sz w:val="24"/>
        </w:rPr>
        <w:t>at</w:t>
      </w:r>
      <w:r w:rsidR="00C92FB9">
        <w:rPr>
          <w:rFonts w:ascii="Times New Roman" w:hAnsi="Times New Roman" w:cs="Times New Roman"/>
          <w:sz w:val="24"/>
        </w:rPr>
        <w:t>.</w:t>
      </w:r>
      <w:r w:rsidR="00C92FB9">
        <w:rPr>
          <w:rFonts w:ascii="Times New Roman" w:hAnsi="Times New Roman" w:cs="Times New Roman"/>
          <w:sz w:val="24"/>
        </w:rPr>
        <w:tab/>
      </w:r>
      <w:r w:rsidR="00C92FB9">
        <w:rPr>
          <w:rFonts w:ascii="Times New Roman" w:hAnsi="Times New Roman" w:cs="Times New Roman"/>
          <w:sz w:val="24"/>
        </w:rPr>
        <w:br/>
      </w:r>
      <w:r w:rsidR="00C92FB9">
        <w:rPr>
          <w:rFonts w:ascii="Times New Roman" w:hAnsi="Times New Roman" w:cs="Times New Roman"/>
          <w:sz w:val="24"/>
        </w:rPr>
        <w:tab/>
        <w:t xml:space="preserve">Az </w:t>
      </w:r>
      <w:r w:rsidR="00964883">
        <w:rPr>
          <w:rFonts w:ascii="Times New Roman" w:hAnsi="Times New Roman" w:cs="Times New Roman"/>
          <w:sz w:val="24"/>
        </w:rPr>
        <w:t xml:space="preserve">energiaadó talán a legátfogóbb jellegű instrumentum, hiszen </w:t>
      </w:r>
      <w:r w:rsidR="00C92FB9">
        <w:rPr>
          <w:rFonts w:ascii="Times New Roman" w:hAnsi="Times New Roman" w:cs="Times New Roman"/>
          <w:sz w:val="24"/>
        </w:rPr>
        <w:t xml:space="preserve">kihat </w:t>
      </w:r>
      <w:r w:rsidR="00964883">
        <w:rPr>
          <w:rFonts w:ascii="Times New Roman" w:hAnsi="Times New Roman" w:cs="Times New Roman"/>
          <w:sz w:val="24"/>
        </w:rPr>
        <w:t xml:space="preserve">az energiaellátásra, a közlekedésre és a környezetvédelemre </w:t>
      </w:r>
      <w:r w:rsidR="00C92FB9">
        <w:rPr>
          <w:rFonts w:ascii="Times New Roman" w:hAnsi="Times New Roman" w:cs="Times New Roman"/>
          <w:sz w:val="24"/>
        </w:rPr>
        <w:t>és közvetlen kölcsönhatásban áll minden más gazdasági eszközzel. A gyakorlatban a környezetvédelmi elem minimális adószintekre történő beépítése lehetővé tenné, hogy az energiaadó EU-szinten hatékonyabban kiegészítse a többi gazdasági eszközt. Az EU-</w:t>
      </w:r>
      <w:r w:rsidR="00964883">
        <w:rPr>
          <w:rFonts w:ascii="Times New Roman" w:hAnsi="Times New Roman" w:cs="Times New Roman"/>
          <w:sz w:val="24"/>
        </w:rPr>
        <w:t>ETS kiemelendő a rendszerből. A</w:t>
      </w:r>
      <w:r w:rsidR="00C92FB9">
        <w:rPr>
          <w:rFonts w:ascii="Times New Roman" w:hAnsi="Times New Roman" w:cs="Times New Roman"/>
          <w:sz w:val="24"/>
        </w:rPr>
        <w:t xml:space="preserve">z </w:t>
      </w:r>
      <w:r w:rsidR="00964883">
        <w:rPr>
          <w:rFonts w:ascii="Times New Roman" w:hAnsi="Times New Roman" w:cs="Times New Roman"/>
          <w:sz w:val="24"/>
        </w:rPr>
        <w:t xml:space="preserve">ETS </w:t>
      </w:r>
      <w:r w:rsidR="00C92FB9">
        <w:rPr>
          <w:rFonts w:ascii="Times New Roman" w:hAnsi="Times New Roman" w:cs="Times New Roman"/>
          <w:sz w:val="24"/>
        </w:rPr>
        <w:t xml:space="preserve">egyes égetőművekből és ipari létesítményekből származó kibocsátásokra, az energiaadó pedig az energia fűtő-és üzemanyagként történő felhasználására vonatkozik, miközben számos esetben nem terjed ki a leginkább energiaigényes ágazatokra, amelyek az EU-ETS hatálya alá tartoznak. </w:t>
      </w:r>
      <w:r w:rsidR="000D34DB">
        <w:rPr>
          <w:rFonts w:ascii="Times New Roman" w:hAnsi="Times New Roman" w:cs="Times New Roman"/>
          <w:sz w:val="24"/>
        </w:rPr>
        <w:t xml:space="preserve">Az ebbe a körbe tartozó környezeti hatásoknak az energiaadóról szóló irányelv hatálya alól történő kizárása valóban megvalósítható megoldás lehetne, ami a két eszköz közötti potenciális </w:t>
      </w:r>
      <w:r w:rsidR="000D34DB">
        <w:rPr>
          <w:rFonts w:ascii="Times New Roman" w:hAnsi="Times New Roman" w:cs="Times New Roman"/>
          <w:i/>
          <w:sz w:val="24"/>
        </w:rPr>
        <w:t>átfedések</w:t>
      </w:r>
      <w:r w:rsidR="000D34DB">
        <w:rPr>
          <w:rFonts w:ascii="Times New Roman" w:hAnsi="Times New Roman" w:cs="Times New Roman"/>
          <w:sz w:val="24"/>
        </w:rPr>
        <w:t xml:space="preserve"> problémáját is megoldhatná, ugyanakkor biztosítaná az energiaadó többi célkitűzésének a betartását. Uniós szinten a kérdéskört még mindig nem zárták le, folyamatosan tanácskoznak, csakúgy</w:t>
      </w:r>
      <w:r w:rsidR="00580AF2">
        <w:rPr>
          <w:rFonts w:ascii="Times New Roman" w:hAnsi="Times New Roman" w:cs="Times New Roman"/>
          <w:sz w:val="24"/>
        </w:rPr>
        <w:t>,</w:t>
      </w:r>
      <w:r w:rsidR="000D34DB">
        <w:rPr>
          <w:rFonts w:ascii="Times New Roman" w:hAnsi="Times New Roman" w:cs="Times New Roman"/>
          <w:sz w:val="24"/>
        </w:rPr>
        <w:t xml:space="preserve"> mint tagállami szinten, hiszen a tagállamok a korábban megkezdett gátló folyamatot folytatják annak érdekében, hogy valamilyen szinten beleszóljanak és lassítsák az energiaadó jövőbeli fejlődését.</w:t>
      </w:r>
      <w:r w:rsidR="000D34DB">
        <w:rPr>
          <w:rStyle w:val="Lbjegyzet-hivatkozs"/>
          <w:sz w:val="24"/>
        </w:rPr>
        <w:footnoteReference w:id="209"/>
      </w:r>
      <w:r w:rsidR="00CB0E0C" w:rsidRPr="00413518">
        <w:rPr>
          <w:rStyle w:val="Kiemels"/>
          <w:rFonts w:ascii="Times New Roman" w:hAnsi="Times New Roman" w:cs="Times New Roman"/>
        </w:rPr>
        <w:tab/>
      </w:r>
    </w:p>
    <w:p w:rsidR="00C02E75" w:rsidRDefault="00C02E75" w:rsidP="0069191A">
      <w:pPr>
        <w:spacing w:line="360" w:lineRule="auto"/>
        <w:jc w:val="both"/>
        <w:rPr>
          <w:rFonts w:ascii="Times New Roman" w:hAnsi="Times New Roman" w:cs="Times New Roman"/>
          <w:sz w:val="24"/>
          <w:szCs w:val="24"/>
        </w:rPr>
      </w:pPr>
    </w:p>
    <w:p w:rsidR="00BA0582" w:rsidRDefault="00BA0582" w:rsidP="0069191A">
      <w:pPr>
        <w:spacing w:line="360" w:lineRule="auto"/>
        <w:jc w:val="both"/>
        <w:rPr>
          <w:rFonts w:ascii="Times New Roman" w:hAnsi="Times New Roman" w:cs="Times New Roman"/>
          <w:sz w:val="24"/>
          <w:szCs w:val="24"/>
        </w:rPr>
      </w:pPr>
    </w:p>
    <w:p w:rsidR="00BA0582" w:rsidRDefault="00BA0582" w:rsidP="0069191A">
      <w:pPr>
        <w:spacing w:line="360" w:lineRule="auto"/>
        <w:jc w:val="both"/>
        <w:rPr>
          <w:rFonts w:ascii="Times New Roman" w:hAnsi="Times New Roman" w:cs="Times New Roman"/>
          <w:sz w:val="24"/>
          <w:szCs w:val="24"/>
        </w:rPr>
      </w:pPr>
    </w:p>
    <w:p w:rsidR="00BA0582" w:rsidRDefault="00BA0582" w:rsidP="0069191A">
      <w:pPr>
        <w:spacing w:line="360" w:lineRule="auto"/>
        <w:jc w:val="both"/>
        <w:rPr>
          <w:rFonts w:ascii="Times New Roman" w:hAnsi="Times New Roman" w:cs="Times New Roman"/>
          <w:sz w:val="24"/>
          <w:szCs w:val="24"/>
        </w:rPr>
      </w:pPr>
    </w:p>
    <w:p w:rsidR="00BA0582" w:rsidRDefault="00BA0582" w:rsidP="0069191A">
      <w:pPr>
        <w:spacing w:line="360" w:lineRule="auto"/>
        <w:jc w:val="both"/>
        <w:rPr>
          <w:rFonts w:ascii="Times New Roman" w:hAnsi="Times New Roman" w:cs="Times New Roman"/>
          <w:sz w:val="24"/>
          <w:szCs w:val="24"/>
        </w:rPr>
      </w:pPr>
    </w:p>
    <w:p w:rsidR="00500343" w:rsidRDefault="00500343" w:rsidP="002956E6">
      <w:pPr>
        <w:pStyle w:val="Cmsor1"/>
        <w:rPr>
          <w:rFonts w:ascii="Times New Roman" w:hAnsi="Times New Roman" w:cs="Times New Roman"/>
        </w:rPr>
      </w:pPr>
    </w:p>
    <w:p w:rsidR="00500343" w:rsidRDefault="00500343" w:rsidP="002956E6">
      <w:pPr>
        <w:pStyle w:val="Cmsor1"/>
        <w:rPr>
          <w:rFonts w:ascii="Times New Roman" w:hAnsi="Times New Roman" w:cs="Times New Roman"/>
        </w:rPr>
      </w:pPr>
    </w:p>
    <w:p w:rsidR="0011247F" w:rsidRPr="00BA0582" w:rsidRDefault="002956E6" w:rsidP="00DA46C6">
      <w:pPr>
        <w:pStyle w:val="Cmsor1"/>
        <w:spacing w:line="360" w:lineRule="auto"/>
        <w:jc w:val="both"/>
        <w:rPr>
          <w:rFonts w:ascii="Times New Roman" w:hAnsi="Times New Roman" w:cs="Times New Roman"/>
        </w:rPr>
      </w:pPr>
      <w:bookmarkStart w:id="12" w:name="_Toc340927918"/>
      <w:r w:rsidRPr="00BA0582">
        <w:rPr>
          <w:rFonts w:ascii="Times New Roman" w:hAnsi="Times New Roman" w:cs="Times New Roman"/>
        </w:rPr>
        <w:lastRenderedPageBreak/>
        <w:t>IRODALOMJEGYZÉK</w:t>
      </w:r>
      <w:bookmarkEnd w:id="12"/>
    </w:p>
    <w:p w:rsidR="00460FDE" w:rsidRPr="00460FDE" w:rsidRDefault="00460FDE" w:rsidP="00DA46C6">
      <w:pPr>
        <w:spacing w:line="360" w:lineRule="auto"/>
        <w:jc w:val="both"/>
      </w:pPr>
    </w:p>
    <w:p w:rsidR="00776DB2" w:rsidRPr="004A7EA1" w:rsidRDefault="00776DB2" w:rsidP="00DA46C6">
      <w:pPr>
        <w:autoSpaceDE w:val="0"/>
        <w:autoSpaceDN w:val="0"/>
        <w:adjustRightInd w:val="0"/>
        <w:spacing w:after="0" w:line="360" w:lineRule="auto"/>
        <w:jc w:val="both"/>
        <w:rPr>
          <w:rFonts w:ascii="Times New Roman" w:hAnsi="Times New Roman" w:cs="Times New Roman"/>
        </w:rPr>
      </w:pPr>
      <w:r w:rsidRPr="00AC152A">
        <w:rPr>
          <w:rFonts w:ascii="Times New Roman" w:hAnsi="Times New Roman" w:cs="Times New Roman"/>
          <w:b/>
        </w:rPr>
        <w:t>1993. White</w:t>
      </w:r>
      <w:r w:rsidRPr="004A7EA1">
        <w:rPr>
          <w:rFonts w:ascii="Times New Roman" w:hAnsi="Times New Roman" w:cs="Times New Roman"/>
          <w:b/>
        </w:rPr>
        <w:t xml:space="preserve"> Paper</w:t>
      </w:r>
      <w:r w:rsidRPr="004A7EA1">
        <w:rPr>
          <w:rFonts w:ascii="Times New Roman" w:hAnsi="Times New Roman" w:cs="Times New Roman"/>
        </w:rPr>
        <w:t xml:space="preserve"> on Growth, Competitiveness and Employment</w:t>
      </w:r>
      <w:r w:rsidR="00D05254">
        <w:rPr>
          <w:rFonts w:ascii="Times New Roman" w:hAnsi="Times New Roman" w:cs="Times New Roman"/>
        </w:rPr>
        <w:t>.</w:t>
      </w:r>
      <w:r w:rsidR="00DA46C6">
        <w:rPr>
          <w:rFonts w:ascii="Times New Roman" w:hAnsi="Times New Roman" w:cs="Times New Roman"/>
        </w:rPr>
        <w:tab/>
      </w:r>
      <w:r w:rsidR="00DA46C6">
        <w:rPr>
          <w:rFonts w:ascii="Times New Roman" w:hAnsi="Times New Roman" w:cs="Times New Roman"/>
        </w:rPr>
        <w:br/>
      </w:r>
      <w:hyperlink r:id="rId37" w:history="1">
        <w:r w:rsidR="00D05254" w:rsidRPr="002A3B84">
          <w:rPr>
            <w:rStyle w:val="Hiperhivatkozs"/>
            <w:rFonts w:ascii="Times New Roman" w:hAnsi="Times New Roman" w:cs="Times New Roman"/>
            <w:lang w:val="en-GB"/>
          </w:rPr>
          <w:t>http://aei.pitt.edu/1139/</w:t>
        </w:r>
      </w:hyperlink>
      <w:r w:rsidRPr="004A7EA1">
        <w:rPr>
          <w:rFonts w:ascii="Times New Roman" w:hAnsi="Times New Roman" w:cs="Times New Roman"/>
        </w:rPr>
        <w:tab/>
      </w:r>
    </w:p>
    <w:p w:rsidR="00776DB2" w:rsidRPr="004A7EA1" w:rsidRDefault="00776DB2" w:rsidP="00DA46C6">
      <w:pPr>
        <w:autoSpaceDE w:val="0"/>
        <w:autoSpaceDN w:val="0"/>
        <w:adjustRightInd w:val="0"/>
        <w:spacing w:after="0" w:line="360" w:lineRule="auto"/>
        <w:jc w:val="both"/>
        <w:rPr>
          <w:rFonts w:ascii="Times New Roman" w:hAnsi="Times New Roman" w:cs="Times New Roman"/>
        </w:rPr>
      </w:pPr>
      <w:r w:rsidRPr="004A7EA1">
        <w:rPr>
          <w:rFonts w:ascii="Times New Roman" w:hAnsi="Times New Roman" w:cs="Times New Roman"/>
          <w:b/>
        </w:rPr>
        <w:t xml:space="preserve">BÁNDI </w:t>
      </w:r>
      <w:r w:rsidR="00AC152A">
        <w:rPr>
          <w:rFonts w:ascii="Times New Roman" w:hAnsi="Times New Roman" w:cs="Times New Roman"/>
        </w:rPr>
        <w:t>Gyula et al.</w:t>
      </w:r>
      <w:r w:rsidRPr="00F07551">
        <w:rPr>
          <w:rFonts w:ascii="Times New Roman" w:hAnsi="Times New Roman" w:cs="Times New Roman"/>
        </w:rPr>
        <w:t>: Az Európai Unió környezetvédelmi szabályozása. Budapest, KJK-KERSZÖV Jogi és Üzleti Kiadó Kft.</w:t>
      </w:r>
      <w:r w:rsidR="00AC152A">
        <w:rPr>
          <w:rFonts w:ascii="Times New Roman" w:hAnsi="Times New Roman" w:cs="Times New Roman"/>
        </w:rPr>
        <w:t xml:space="preserve"> </w:t>
      </w:r>
      <w:r w:rsidR="00AC152A" w:rsidRPr="00F07551">
        <w:rPr>
          <w:rFonts w:ascii="Times New Roman" w:hAnsi="Times New Roman" w:cs="Times New Roman"/>
        </w:rPr>
        <w:t>2001</w:t>
      </w:r>
      <w:r w:rsidR="00AC152A">
        <w:rPr>
          <w:rFonts w:ascii="Times New Roman" w:hAnsi="Times New Roman" w:cs="Times New Roman"/>
        </w:rPr>
        <w:t>.</w:t>
      </w:r>
    </w:p>
    <w:p w:rsidR="00776DB2" w:rsidRPr="004A7EA1" w:rsidRDefault="00776DB2" w:rsidP="00DA46C6">
      <w:pPr>
        <w:autoSpaceDE w:val="0"/>
        <w:autoSpaceDN w:val="0"/>
        <w:adjustRightInd w:val="0"/>
        <w:spacing w:after="0" w:line="360" w:lineRule="auto"/>
        <w:jc w:val="both"/>
        <w:rPr>
          <w:rFonts w:ascii="Times New Roman" w:hAnsi="Times New Roman" w:cs="Times New Roman"/>
        </w:rPr>
      </w:pPr>
      <w:r w:rsidRPr="004A7EA1">
        <w:rPr>
          <w:rFonts w:ascii="Times New Roman" w:hAnsi="Times New Roman" w:cs="Times New Roman"/>
          <w:b/>
        </w:rPr>
        <w:t>BARKER</w:t>
      </w:r>
      <w:r>
        <w:rPr>
          <w:rFonts w:ascii="Times New Roman" w:hAnsi="Times New Roman" w:cs="Times New Roman"/>
        </w:rPr>
        <w:t xml:space="preserve"> T. </w:t>
      </w:r>
      <w:r w:rsidR="00AC152A">
        <w:rPr>
          <w:rFonts w:ascii="Times New Roman" w:hAnsi="Times New Roman" w:cs="Times New Roman"/>
        </w:rPr>
        <w:t>et al.</w:t>
      </w:r>
      <w:r w:rsidRPr="004A7EA1">
        <w:rPr>
          <w:rFonts w:ascii="Times New Roman" w:hAnsi="Times New Roman" w:cs="Times New Roman"/>
        </w:rPr>
        <w:t xml:space="preserve">: </w:t>
      </w:r>
      <w:r w:rsidRPr="00F07551">
        <w:rPr>
          <w:rFonts w:ascii="Times New Roman" w:hAnsi="Times New Roman" w:cs="Times New Roman"/>
          <w:lang w:val="en-GB"/>
        </w:rPr>
        <w:t xml:space="preserve">Modelling Environmental Tax Reform in Germany and the United Kingdom with E3ME and GINFORS. </w:t>
      </w:r>
      <w:r w:rsidRPr="004A7EA1">
        <w:rPr>
          <w:rFonts w:ascii="Times New Roman" w:hAnsi="Times New Roman" w:cs="Times New Roman"/>
        </w:rPr>
        <w:t>2007</w:t>
      </w:r>
      <w:r w:rsidR="00F07551">
        <w:rPr>
          <w:rFonts w:ascii="Times New Roman" w:hAnsi="Times New Roman" w:cs="Times New Roman"/>
        </w:rPr>
        <w:t>.</w:t>
      </w:r>
      <w:r w:rsidRPr="004A7EA1">
        <w:rPr>
          <w:rFonts w:ascii="Times New Roman" w:hAnsi="Times New Roman" w:cs="Times New Roman"/>
        </w:rPr>
        <w:t xml:space="preserve"> november.</w:t>
      </w:r>
      <w:r w:rsidR="0021769D">
        <w:rPr>
          <w:rFonts w:ascii="Times New Roman" w:hAnsi="Times New Roman" w:cs="Times New Roman"/>
        </w:rPr>
        <w:tab/>
      </w:r>
      <w:r w:rsidR="0021769D">
        <w:t xml:space="preserve"> </w:t>
      </w:r>
      <w:hyperlink r:id="rId38" w:history="1">
        <w:r w:rsidR="00500343" w:rsidRPr="00CA1492">
          <w:rPr>
            <w:rStyle w:val="Hiperhivatkozs"/>
            <w:rFonts w:ascii="Times New Roman" w:hAnsi="Times New Roman" w:cs="Times New Roman"/>
          </w:rPr>
          <w:t>www.petre.org.uk/pdf/berlin2007/meyer_1.pdf</w:t>
        </w:r>
      </w:hyperlink>
    </w:p>
    <w:p w:rsidR="00776DB2" w:rsidRDefault="00776DB2" w:rsidP="00DA46C6">
      <w:pPr>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b/>
        </w:rPr>
        <w:t xml:space="preserve">BODANSKY </w:t>
      </w:r>
      <w:r>
        <w:rPr>
          <w:rFonts w:ascii="Times New Roman" w:hAnsi="Times New Roman" w:cs="Times New Roman"/>
        </w:rPr>
        <w:t xml:space="preserve">Daniel- </w:t>
      </w:r>
      <w:r>
        <w:rPr>
          <w:rFonts w:ascii="Times New Roman" w:hAnsi="Times New Roman" w:cs="Times New Roman"/>
          <w:b/>
        </w:rPr>
        <w:t xml:space="preserve">BRUNÉE </w:t>
      </w:r>
      <w:r>
        <w:rPr>
          <w:rFonts w:ascii="Times New Roman" w:hAnsi="Times New Roman" w:cs="Times New Roman"/>
        </w:rPr>
        <w:t xml:space="preserve">Jutta – </w:t>
      </w:r>
      <w:r>
        <w:rPr>
          <w:rFonts w:ascii="Times New Roman" w:hAnsi="Times New Roman" w:cs="Times New Roman"/>
          <w:b/>
        </w:rPr>
        <w:t xml:space="preserve">HEY </w:t>
      </w:r>
      <w:r>
        <w:rPr>
          <w:rFonts w:ascii="Times New Roman" w:hAnsi="Times New Roman" w:cs="Times New Roman"/>
        </w:rPr>
        <w:t>Ellen (szerk.): The Oxford Handbook of International Environmental Law, Oxford University Press, 2008.</w:t>
      </w:r>
      <w:r>
        <w:rPr>
          <w:rFonts w:ascii="Times New Roman" w:hAnsi="Times New Roman" w:cs="Times New Roman"/>
        </w:rPr>
        <w:tab/>
      </w:r>
    </w:p>
    <w:p w:rsidR="00776DB2" w:rsidRPr="004A7EA1" w:rsidRDefault="00776DB2" w:rsidP="00DA46C6">
      <w:pPr>
        <w:autoSpaceDE w:val="0"/>
        <w:autoSpaceDN w:val="0"/>
        <w:adjustRightInd w:val="0"/>
        <w:spacing w:after="0" w:line="360" w:lineRule="auto"/>
        <w:jc w:val="both"/>
        <w:rPr>
          <w:rFonts w:ascii="Times New Roman" w:hAnsi="Times New Roman" w:cs="Times New Roman"/>
        </w:rPr>
      </w:pPr>
      <w:r w:rsidRPr="004A7EA1">
        <w:rPr>
          <w:rFonts w:ascii="Times New Roman" w:hAnsi="Times New Roman" w:cs="Times New Roman"/>
          <w:b/>
        </w:rPr>
        <w:t xml:space="preserve">BORKA </w:t>
      </w:r>
      <w:r w:rsidRPr="004A7EA1">
        <w:rPr>
          <w:rFonts w:ascii="Times New Roman" w:hAnsi="Times New Roman" w:cs="Times New Roman"/>
        </w:rPr>
        <w:t xml:space="preserve">Norbert: </w:t>
      </w:r>
      <w:r w:rsidRPr="00F07551">
        <w:rPr>
          <w:rFonts w:ascii="Times New Roman" w:hAnsi="Times New Roman" w:cs="Times New Roman"/>
        </w:rPr>
        <w:t>Az energiaadóval kapcsolatos szabályozás. Adóvilág, 2004. 6. szám</w:t>
      </w:r>
      <w:r w:rsidR="006F30B0">
        <w:rPr>
          <w:rFonts w:ascii="Times New Roman" w:hAnsi="Times New Roman" w:cs="Times New Roman"/>
        </w:rPr>
        <w:t xml:space="preserve"> </w:t>
      </w:r>
      <w:hyperlink r:id="rId39" w:history="1">
        <w:r w:rsidR="00BF538B" w:rsidRPr="00CA1492">
          <w:rPr>
            <w:rStyle w:val="Hiperhivatkozs"/>
            <w:rFonts w:ascii="Times New Roman" w:hAnsi="Times New Roman" w:cs="Times New Roman"/>
          </w:rPr>
          <w:t>www.nav.gov.hu/data/cms1637/int0406cikk.pdf</w:t>
        </w:r>
      </w:hyperlink>
    </w:p>
    <w:p w:rsidR="00776DB2" w:rsidRPr="00F07551" w:rsidRDefault="00776DB2" w:rsidP="00DA46C6">
      <w:pPr>
        <w:autoSpaceDE w:val="0"/>
        <w:autoSpaceDN w:val="0"/>
        <w:adjustRightInd w:val="0"/>
        <w:spacing w:after="0" w:line="360" w:lineRule="auto"/>
        <w:jc w:val="both"/>
        <w:rPr>
          <w:rFonts w:ascii="Times New Roman" w:hAnsi="Times New Roman" w:cs="Times New Roman"/>
          <w:lang w:val="en-GB"/>
        </w:rPr>
      </w:pPr>
      <w:r w:rsidRPr="00F07551">
        <w:rPr>
          <w:rFonts w:ascii="Times New Roman" w:hAnsi="Times New Roman" w:cs="Times New Roman"/>
          <w:b/>
          <w:lang w:val="en-GB"/>
        </w:rPr>
        <w:t>Briefing Paper</w:t>
      </w:r>
      <w:r w:rsidR="00AC152A">
        <w:rPr>
          <w:rFonts w:ascii="Times New Roman" w:hAnsi="Times New Roman" w:cs="Times New Roman"/>
          <w:lang w:val="en-GB"/>
        </w:rPr>
        <w:t xml:space="preserve"> Seven: </w:t>
      </w:r>
      <w:r w:rsidR="00AC152A" w:rsidRPr="00F07551">
        <w:rPr>
          <w:rFonts w:ascii="Times New Roman" w:hAnsi="Times New Roman" w:cs="Times New Roman"/>
          <w:lang w:val="en-GB"/>
        </w:rPr>
        <w:t>Competitiveness and Environmental Tax Reform</w:t>
      </w:r>
      <w:r w:rsidR="00AC152A">
        <w:rPr>
          <w:rFonts w:ascii="Times New Roman" w:hAnsi="Times New Roman" w:cs="Times New Roman"/>
          <w:lang w:val="en-GB"/>
        </w:rPr>
        <w:t>,</w:t>
      </w:r>
      <w:r w:rsidRPr="00F07551">
        <w:rPr>
          <w:rFonts w:ascii="Times New Roman" w:hAnsi="Times New Roman" w:cs="Times New Roman"/>
          <w:lang w:val="en-GB"/>
        </w:rPr>
        <w:t xml:space="preserve"> 2010 march</w:t>
      </w:r>
      <w:r w:rsidR="0021769D">
        <w:rPr>
          <w:rFonts w:ascii="Times New Roman" w:hAnsi="Times New Roman" w:cs="Times New Roman"/>
          <w:lang w:val="en-GB"/>
        </w:rPr>
        <w:t>.</w:t>
      </w:r>
      <w:r w:rsidR="0021769D" w:rsidRPr="0021769D">
        <w:t xml:space="preserve"> </w:t>
      </w:r>
      <w:hyperlink r:id="rId40" w:history="1">
        <w:r w:rsidR="00BF538B" w:rsidRPr="00CA1492">
          <w:rPr>
            <w:rStyle w:val="Hiperhivatkozs"/>
            <w:rFonts w:ascii="Times New Roman" w:hAnsi="Times New Roman" w:cs="Times New Roman"/>
            <w:lang w:val="en-GB"/>
          </w:rPr>
          <w:t>www.greenfiscalcommission.org.uk/images/uploads/gfcBriefing7_PDF_isbn_v8.pdf</w:t>
        </w:r>
        <w:r w:rsidR="00BF538B" w:rsidRPr="00CA1492">
          <w:rPr>
            <w:rStyle w:val="Hiperhivatkozs"/>
            <w:rFonts w:ascii="Times New Roman" w:hAnsi="Times New Roman" w:cs="Times New Roman"/>
            <w:lang w:val="en-GB"/>
          </w:rPr>
          <w:tab/>
        </w:r>
      </w:hyperlink>
    </w:p>
    <w:p w:rsidR="00776DB2" w:rsidRPr="00F07551" w:rsidRDefault="00776DB2" w:rsidP="00DA46C6">
      <w:pPr>
        <w:autoSpaceDE w:val="0"/>
        <w:autoSpaceDN w:val="0"/>
        <w:adjustRightInd w:val="0"/>
        <w:spacing w:after="0" w:line="360" w:lineRule="auto"/>
        <w:jc w:val="both"/>
        <w:rPr>
          <w:rFonts w:ascii="Times New Roman" w:hAnsi="Times New Roman" w:cs="Times New Roman"/>
          <w:lang w:val="en-GB"/>
        </w:rPr>
      </w:pPr>
      <w:r w:rsidRPr="00F07551">
        <w:rPr>
          <w:rFonts w:ascii="Times New Roman" w:hAnsi="Times New Roman" w:cs="Times New Roman"/>
          <w:b/>
          <w:lang w:val="en-GB"/>
        </w:rPr>
        <w:t>Copenhagen Economics</w:t>
      </w:r>
      <w:r w:rsidRPr="00F07551">
        <w:rPr>
          <w:rFonts w:ascii="Times New Roman" w:hAnsi="Times New Roman" w:cs="Times New Roman"/>
          <w:lang w:val="en-GB"/>
        </w:rPr>
        <w:t>: Innovation of Energy Technologies: the role of taxes. Final Report</w:t>
      </w:r>
      <w:r w:rsidR="00AC152A">
        <w:rPr>
          <w:rFonts w:ascii="Times New Roman" w:hAnsi="Times New Roman" w:cs="Times New Roman"/>
          <w:lang w:val="en-GB"/>
        </w:rPr>
        <w:t>,</w:t>
      </w:r>
      <w:r w:rsidRPr="00F07551">
        <w:rPr>
          <w:rFonts w:ascii="Times New Roman" w:hAnsi="Times New Roman" w:cs="Times New Roman"/>
          <w:lang w:val="en-GB"/>
        </w:rPr>
        <w:t xml:space="preserve">. </w:t>
      </w:r>
      <w:r w:rsidR="00AC152A" w:rsidRPr="00F07551">
        <w:rPr>
          <w:rFonts w:ascii="Times New Roman" w:hAnsi="Times New Roman" w:cs="Times New Roman"/>
          <w:lang w:val="en-GB"/>
        </w:rPr>
        <w:t>2010</w:t>
      </w:r>
      <w:r w:rsidR="00AC152A">
        <w:rPr>
          <w:rFonts w:ascii="Times New Roman" w:hAnsi="Times New Roman" w:cs="Times New Roman"/>
          <w:lang w:val="en-GB"/>
        </w:rPr>
        <w:t xml:space="preserve"> </w:t>
      </w:r>
      <w:r w:rsidR="00F07551" w:rsidRPr="00F07551">
        <w:rPr>
          <w:rFonts w:ascii="Times New Roman" w:hAnsi="Times New Roman" w:cs="Times New Roman"/>
          <w:lang w:val="en-GB"/>
        </w:rPr>
        <w:t>November</w:t>
      </w:r>
      <w:r w:rsidR="00DA46C6">
        <w:rPr>
          <w:rFonts w:ascii="Times New Roman" w:hAnsi="Times New Roman" w:cs="Times New Roman"/>
          <w:lang w:val="en-GB"/>
        </w:rPr>
        <w:t>.</w:t>
      </w:r>
      <w:r w:rsidR="00DA46C6">
        <w:rPr>
          <w:rFonts w:ascii="Times New Roman" w:hAnsi="Times New Roman" w:cs="Times New Roman"/>
          <w:lang w:val="en-GB"/>
        </w:rPr>
        <w:br/>
      </w:r>
      <w:hyperlink r:id="rId41" w:history="1">
        <w:r w:rsidR="0021769D" w:rsidRPr="0021769D">
          <w:rPr>
            <w:rStyle w:val="Hiperhivatkozs"/>
            <w:rFonts w:ascii="Times New Roman" w:hAnsi="Times New Roman" w:cs="Times New Roman"/>
            <w:lang w:val="en-GB"/>
          </w:rPr>
          <w:t>http://ec.europa.eu/taxation_customs/resources/documents/common/publications/studies/taxation_energy_innov.pdf</w:t>
        </w:r>
      </w:hyperlink>
      <w:r w:rsidRPr="00F07551">
        <w:rPr>
          <w:rFonts w:ascii="Times New Roman" w:hAnsi="Times New Roman" w:cs="Times New Roman"/>
          <w:lang w:val="en-GB"/>
        </w:rPr>
        <w:tab/>
      </w:r>
    </w:p>
    <w:p w:rsidR="00776DB2" w:rsidRPr="004A7EA1" w:rsidRDefault="00776DB2" w:rsidP="00DA46C6">
      <w:pPr>
        <w:autoSpaceDE w:val="0"/>
        <w:autoSpaceDN w:val="0"/>
        <w:adjustRightInd w:val="0"/>
        <w:spacing w:after="0" w:line="360" w:lineRule="auto"/>
        <w:jc w:val="both"/>
        <w:rPr>
          <w:rFonts w:ascii="Times New Roman" w:hAnsi="Times New Roman" w:cs="Times New Roman"/>
        </w:rPr>
      </w:pPr>
      <w:r w:rsidRPr="004A7EA1">
        <w:rPr>
          <w:rFonts w:ascii="Times New Roman" w:hAnsi="Times New Roman" w:cs="Times New Roman"/>
          <w:b/>
        </w:rPr>
        <w:t>CZIPSZER</w:t>
      </w:r>
      <w:r w:rsidR="00AC152A">
        <w:rPr>
          <w:rFonts w:ascii="Times New Roman" w:hAnsi="Times New Roman" w:cs="Times New Roman"/>
        </w:rPr>
        <w:t xml:space="preserve"> Károlyné</w:t>
      </w:r>
      <w:r w:rsidRPr="004A7EA1">
        <w:rPr>
          <w:rFonts w:ascii="Times New Roman" w:hAnsi="Times New Roman" w:cs="Times New Roman"/>
        </w:rPr>
        <w:t xml:space="preserve">: Az energiaadó. Építési Piac, </w:t>
      </w:r>
      <w:r w:rsidR="00AC152A" w:rsidRPr="004A7EA1">
        <w:rPr>
          <w:rFonts w:ascii="Times New Roman" w:hAnsi="Times New Roman" w:cs="Times New Roman"/>
        </w:rPr>
        <w:t>2005</w:t>
      </w:r>
      <w:r w:rsidR="00AC152A">
        <w:rPr>
          <w:rFonts w:ascii="Times New Roman" w:hAnsi="Times New Roman" w:cs="Times New Roman"/>
        </w:rPr>
        <w:t xml:space="preserve">. </w:t>
      </w:r>
      <w:r w:rsidRPr="004A7EA1">
        <w:rPr>
          <w:rFonts w:ascii="Times New Roman" w:hAnsi="Times New Roman" w:cs="Times New Roman"/>
        </w:rPr>
        <w:t>május.</w:t>
      </w:r>
      <w:r w:rsidRPr="004A7EA1">
        <w:rPr>
          <w:rFonts w:ascii="Times New Roman" w:hAnsi="Times New Roman" w:cs="Times New Roman"/>
        </w:rPr>
        <w:tab/>
      </w:r>
    </w:p>
    <w:p w:rsidR="00776DB2" w:rsidRPr="004A7EA1" w:rsidRDefault="00776DB2" w:rsidP="00DA46C6">
      <w:pPr>
        <w:autoSpaceDE w:val="0"/>
        <w:autoSpaceDN w:val="0"/>
        <w:adjustRightInd w:val="0"/>
        <w:spacing w:after="0" w:line="360" w:lineRule="auto"/>
        <w:jc w:val="both"/>
        <w:rPr>
          <w:rFonts w:ascii="Times New Roman" w:hAnsi="Times New Roman" w:cs="Times New Roman"/>
        </w:rPr>
      </w:pPr>
      <w:r w:rsidRPr="004A7EA1">
        <w:rPr>
          <w:rFonts w:ascii="Times New Roman" w:hAnsi="Times New Roman" w:cs="Times New Roman"/>
          <w:b/>
        </w:rPr>
        <w:t>DEFFA</w:t>
      </w:r>
      <w:r>
        <w:rPr>
          <w:rFonts w:ascii="Times New Roman" w:hAnsi="Times New Roman" w:cs="Times New Roman"/>
          <w:b/>
        </w:rPr>
        <w:t xml:space="preserve"> </w:t>
      </w:r>
      <w:r>
        <w:rPr>
          <w:rFonts w:ascii="Times New Roman" w:hAnsi="Times New Roman" w:cs="Times New Roman"/>
        </w:rPr>
        <w:t>Walter</w:t>
      </w:r>
      <w:r w:rsidRPr="004A7EA1">
        <w:rPr>
          <w:rFonts w:ascii="Times New Roman" w:hAnsi="Times New Roman" w:cs="Times New Roman"/>
        </w:rPr>
        <w:t>: „Environmental taxation at EU Level” c</w:t>
      </w:r>
      <w:r w:rsidR="00AC152A">
        <w:rPr>
          <w:rFonts w:ascii="Times New Roman" w:hAnsi="Times New Roman" w:cs="Times New Roman"/>
        </w:rPr>
        <w:t>.</w:t>
      </w:r>
      <w:r w:rsidRPr="004A7EA1">
        <w:rPr>
          <w:rFonts w:ascii="Times New Roman" w:hAnsi="Times New Roman" w:cs="Times New Roman"/>
        </w:rPr>
        <w:t xml:space="preserve"> előadása. G</w:t>
      </w:r>
      <w:r w:rsidR="00D05254">
        <w:rPr>
          <w:rFonts w:ascii="Times New Roman" w:hAnsi="Times New Roman" w:cs="Times New Roman"/>
        </w:rPr>
        <w:t>BE Annual Conference,</w:t>
      </w:r>
      <w:r w:rsidR="00AC152A">
        <w:rPr>
          <w:rFonts w:ascii="Times New Roman" w:hAnsi="Times New Roman" w:cs="Times New Roman"/>
        </w:rPr>
        <w:t xml:space="preserve"> </w:t>
      </w:r>
      <w:r w:rsidR="00E23F1B">
        <w:rPr>
          <w:rFonts w:ascii="Times New Roman" w:hAnsi="Times New Roman" w:cs="Times New Roman"/>
        </w:rPr>
        <w:t>Budapest.</w:t>
      </w:r>
      <w:r w:rsidR="00AC152A" w:rsidRPr="00AC152A">
        <w:rPr>
          <w:rFonts w:ascii="Times New Roman" w:hAnsi="Times New Roman" w:cs="Times New Roman"/>
        </w:rPr>
        <w:t xml:space="preserve"> </w:t>
      </w:r>
      <w:r w:rsidR="00AC152A" w:rsidRPr="004A7EA1">
        <w:rPr>
          <w:rFonts w:ascii="Times New Roman" w:hAnsi="Times New Roman" w:cs="Times New Roman"/>
        </w:rPr>
        <w:t>2010</w:t>
      </w:r>
      <w:r w:rsidR="00AC152A">
        <w:rPr>
          <w:rFonts w:ascii="Times New Roman" w:hAnsi="Times New Roman" w:cs="Times New Roman"/>
        </w:rPr>
        <w:t xml:space="preserve">. </w:t>
      </w:r>
      <w:r w:rsidR="00AC152A">
        <w:rPr>
          <w:rFonts w:ascii="Times New Roman" w:hAnsi="Times New Roman" w:cs="Times New Roman"/>
        </w:rPr>
        <w:tab/>
      </w:r>
      <w:r w:rsidR="00DA46C6">
        <w:rPr>
          <w:rFonts w:ascii="Times New Roman" w:hAnsi="Times New Roman" w:cs="Times New Roman"/>
        </w:rPr>
        <w:br/>
      </w:r>
      <w:hyperlink r:id="rId42" w:history="1">
        <w:r w:rsidR="00BF538B" w:rsidRPr="00CA1492">
          <w:rPr>
            <w:rStyle w:val="Hiperhivatkozs"/>
            <w:rFonts w:ascii="Times New Roman" w:hAnsi="Times New Roman" w:cs="Times New Roman"/>
          </w:rPr>
          <w:t>www.foes.de/pdf/201007%20Walter%20Deffaa%20%20Environmental%20Taxation%20at%20EU%20level.pdf</w:t>
        </w:r>
      </w:hyperlink>
      <w:r w:rsidRPr="004A7EA1">
        <w:rPr>
          <w:rFonts w:ascii="Times New Roman" w:hAnsi="Times New Roman" w:cs="Times New Roman"/>
        </w:rPr>
        <w:tab/>
      </w:r>
    </w:p>
    <w:p w:rsidR="00776DB2" w:rsidRDefault="00776DB2" w:rsidP="00DA46C6">
      <w:pPr>
        <w:autoSpaceDE w:val="0"/>
        <w:autoSpaceDN w:val="0"/>
        <w:adjustRightInd w:val="0"/>
        <w:spacing w:after="0" w:line="360" w:lineRule="auto"/>
        <w:jc w:val="both"/>
        <w:rPr>
          <w:rFonts w:ascii="Times New Roman" w:hAnsi="Times New Roman" w:cs="Times New Roman"/>
        </w:rPr>
      </w:pPr>
      <w:r w:rsidRPr="004A7EA1">
        <w:rPr>
          <w:rFonts w:ascii="Times New Roman" w:hAnsi="Times New Roman" w:cs="Times New Roman"/>
          <w:b/>
        </w:rPr>
        <w:t>EEA</w:t>
      </w:r>
      <w:r w:rsidRPr="004A7EA1">
        <w:rPr>
          <w:rFonts w:ascii="Times New Roman" w:hAnsi="Times New Roman" w:cs="Times New Roman"/>
        </w:rPr>
        <w:t xml:space="preserve">: Environmental taxes: recent developments in tools </w:t>
      </w:r>
      <w:r>
        <w:rPr>
          <w:rFonts w:ascii="Times New Roman" w:hAnsi="Times New Roman" w:cs="Times New Roman"/>
        </w:rPr>
        <w:t xml:space="preserve">for integration. EEA, </w:t>
      </w:r>
      <w:r w:rsidRPr="008E3FD6">
        <w:rPr>
          <w:rFonts w:ascii="Times New Roman" w:hAnsi="Times New Roman" w:cs="Times New Roman"/>
        </w:rPr>
        <w:t>Copenhagen</w:t>
      </w:r>
      <w:r w:rsidR="00AC152A">
        <w:rPr>
          <w:rFonts w:ascii="Times New Roman" w:hAnsi="Times New Roman" w:cs="Times New Roman"/>
        </w:rPr>
        <w:t>,</w:t>
      </w:r>
      <w:r w:rsidR="00AC152A" w:rsidRPr="00AC152A">
        <w:rPr>
          <w:rFonts w:ascii="Times New Roman" w:hAnsi="Times New Roman" w:cs="Times New Roman"/>
        </w:rPr>
        <w:t xml:space="preserve"> </w:t>
      </w:r>
      <w:r w:rsidR="00AC152A" w:rsidRPr="004A7EA1">
        <w:rPr>
          <w:rFonts w:ascii="Times New Roman" w:hAnsi="Times New Roman" w:cs="Times New Roman"/>
        </w:rPr>
        <w:t>2000</w:t>
      </w:r>
      <w:r w:rsidR="00AC152A">
        <w:rPr>
          <w:rFonts w:ascii="Times New Roman" w:hAnsi="Times New Roman" w:cs="Times New Roman"/>
        </w:rPr>
        <w:t>.</w:t>
      </w:r>
      <w:r w:rsidR="00DA46C6">
        <w:rPr>
          <w:rFonts w:ascii="Times New Roman" w:hAnsi="Times New Roman" w:cs="Times New Roman"/>
        </w:rPr>
        <w:br/>
      </w:r>
      <w:hyperlink r:id="rId43" w:history="1">
        <w:r w:rsidR="00BF538B" w:rsidRPr="00CA1492">
          <w:rPr>
            <w:rStyle w:val="Hiperhivatkozs"/>
            <w:rFonts w:ascii="Times New Roman" w:hAnsi="Times New Roman" w:cs="Times New Roman"/>
          </w:rPr>
          <w:t>www.eea.europa.eu/publications/Environmental_Issues_No_18</w:t>
        </w:r>
      </w:hyperlink>
    </w:p>
    <w:p w:rsidR="00776DB2" w:rsidRPr="004A7EA1" w:rsidRDefault="00776DB2" w:rsidP="00DA46C6">
      <w:pPr>
        <w:autoSpaceDE w:val="0"/>
        <w:autoSpaceDN w:val="0"/>
        <w:adjustRightInd w:val="0"/>
        <w:spacing w:after="0" w:line="360" w:lineRule="auto"/>
        <w:jc w:val="both"/>
        <w:rPr>
          <w:rFonts w:ascii="Times New Roman" w:hAnsi="Times New Roman" w:cs="Times New Roman"/>
        </w:rPr>
      </w:pPr>
      <w:r w:rsidRPr="004A7EA1">
        <w:rPr>
          <w:rFonts w:ascii="Times New Roman" w:hAnsi="Times New Roman" w:cs="Times New Roman"/>
          <w:b/>
        </w:rPr>
        <w:t>EEA Report</w:t>
      </w:r>
      <w:r w:rsidRPr="004A7EA1">
        <w:rPr>
          <w:rFonts w:ascii="Times New Roman" w:hAnsi="Times New Roman" w:cs="Times New Roman"/>
        </w:rPr>
        <w:t xml:space="preserve">: </w:t>
      </w:r>
      <w:r w:rsidRPr="00F07551">
        <w:rPr>
          <w:rFonts w:ascii="Times New Roman" w:hAnsi="Times New Roman" w:cs="Times New Roman"/>
          <w:lang w:val="en-GB"/>
        </w:rPr>
        <w:t xml:space="preserve">Energy and environment report. </w:t>
      </w:r>
      <w:r w:rsidR="00AC152A" w:rsidRPr="004A7EA1">
        <w:rPr>
          <w:rFonts w:ascii="Times New Roman" w:hAnsi="Times New Roman" w:cs="Times New Roman"/>
        </w:rPr>
        <w:t>2008</w:t>
      </w:r>
      <w:r w:rsidR="00AC152A">
        <w:rPr>
          <w:rFonts w:ascii="Times New Roman" w:hAnsi="Times New Roman" w:cs="Times New Roman"/>
        </w:rPr>
        <w:t xml:space="preserve">. </w:t>
      </w:r>
      <w:r w:rsidRPr="00F07551">
        <w:rPr>
          <w:rFonts w:ascii="Times New Roman" w:hAnsi="Times New Roman" w:cs="Times New Roman"/>
          <w:lang w:val="en-GB"/>
        </w:rPr>
        <w:t>No.6.</w:t>
      </w:r>
      <w:r w:rsidR="0021769D">
        <w:rPr>
          <w:rFonts w:ascii="Times New Roman" w:hAnsi="Times New Roman" w:cs="Times New Roman"/>
          <w:lang w:val="en-GB"/>
        </w:rPr>
        <w:tab/>
      </w:r>
      <w:r w:rsidR="00AC152A">
        <w:rPr>
          <w:rFonts w:ascii="Times New Roman" w:hAnsi="Times New Roman" w:cs="Times New Roman"/>
          <w:lang w:val="en-GB"/>
        </w:rPr>
        <w:t xml:space="preserve"> </w:t>
      </w:r>
      <w:hyperlink r:id="rId44" w:history="1">
        <w:r w:rsidR="00BF538B" w:rsidRPr="00CA1492">
          <w:rPr>
            <w:rStyle w:val="Hiperhivatkozs"/>
            <w:rFonts w:ascii="Times New Roman" w:hAnsi="Times New Roman" w:cs="Times New Roman"/>
            <w:lang w:val="en-GB"/>
          </w:rPr>
          <w:t>www.eea.europa.eu/publications/eea_report_2008_6</w:t>
        </w:r>
      </w:hyperlink>
      <w:r w:rsidRPr="004A7EA1">
        <w:rPr>
          <w:rFonts w:ascii="Times New Roman" w:hAnsi="Times New Roman" w:cs="Times New Roman"/>
        </w:rPr>
        <w:tab/>
      </w:r>
    </w:p>
    <w:p w:rsidR="00776DB2" w:rsidRPr="0021769D" w:rsidRDefault="00776DB2" w:rsidP="00DA46C6">
      <w:pPr>
        <w:autoSpaceDE w:val="0"/>
        <w:autoSpaceDN w:val="0"/>
        <w:adjustRightInd w:val="0"/>
        <w:spacing w:after="0" w:line="360" w:lineRule="auto"/>
        <w:jc w:val="both"/>
        <w:rPr>
          <w:rFonts w:ascii="Times New Roman" w:hAnsi="Times New Roman" w:cs="Times New Roman"/>
        </w:rPr>
      </w:pPr>
      <w:r w:rsidRPr="004A7EA1">
        <w:rPr>
          <w:rFonts w:ascii="Times New Roman" w:hAnsi="Times New Roman" w:cs="Times New Roman"/>
          <w:b/>
        </w:rPr>
        <w:t xml:space="preserve">EEA </w:t>
      </w:r>
      <w:r w:rsidRPr="00F07551">
        <w:rPr>
          <w:rFonts w:ascii="Times New Roman" w:hAnsi="Times New Roman" w:cs="Times New Roman"/>
          <w:b/>
          <w:lang w:val="en-GB"/>
        </w:rPr>
        <w:t>Technical Report</w:t>
      </w:r>
      <w:r w:rsidRPr="00F07551">
        <w:rPr>
          <w:rFonts w:ascii="Times New Roman" w:hAnsi="Times New Roman" w:cs="Times New Roman"/>
          <w:lang w:val="en-GB"/>
        </w:rPr>
        <w:t xml:space="preserve">: Environmental tax reform in Europe: implications for income distribution. </w:t>
      </w:r>
      <w:r w:rsidR="00AC152A" w:rsidRPr="00F07551">
        <w:rPr>
          <w:rFonts w:ascii="Times New Roman" w:hAnsi="Times New Roman" w:cs="Times New Roman"/>
          <w:lang w:val="en-GB"/>
        </w:rPr>
        <w:t>2011</w:t>
      </w:r>
      <w:r w:rsidR="00AC152A">
        <w:rPr>
          <w:rFonts w:ascii="Times New Roman" w:hAnsi="Times New Roman" w:cs="Times New Roman"/>
          <w:lang w:val="en-GB"/>
        </w:rPr>
        <w:t xml:space="preserve">. </w:t>
      </w:r>
      <w:r w:rsidRPr="00F07551">
        <w:rPr>
          <w:rFonts w:ascii="Times New Roman" w:hAnsi="Times New Roman" w:cs="Times New Roman"/>
          <w:lang w:val="en-GB"/>
        </w:rPr>
        <w:t>No 16.</w:t>
      </w:r>
      <w:r w:rsidR="00DA46C6">
        <w:tab/>
      </w:r>
      <w:r w:rsidR="00DA46C6">
        <w:br/>
      </w:r>
      <w:hyperlink r:id="rId45" w:history="1">
        <w:r w:rsidR="00BF538B" w:rsidRPr="00CA1492">
          <w:rPr>
            <w:rStyle w:val="Hiperhivatkozs"/>
            <w:rFonts w:ascii="Times New Roman" w:hAnsi="Times New Roman" w:cs="Times New Roman"/>
            <w:lang w:val="en-GB"/>
          </w:rPr>
          <w:t>www.eea.europa.eu/publications/environmental-tax-reform-in-europe</w:t>
        </w:r>
      </w:hyperlink>
      <w:r w:rsidRPr="004A7EA1">
        <w:rPr>
          <w:rFonts w:ascii="Times New Roman" w:hAnsi="Times New Roman" w:cs="Times New Roman"/>
        </w:rPr>
        <w:tab/>
      </w:r>
    </w:p>
    <w:p w:rsidR="00776DB2" w:rsidRPr="00F07551" w:rsidRDefault="00776DB2" w:rsidP="00DA46C6">
      <w:pPr>
        <w:autoSpaceDE w:val="0"/>
        <w:autoSpaceDN w:val="0"/>
        <w:adjustRightInd w:val="0"/>
        <w:spacing w:after="0" w:line="360" w:lineRule="auto"/>
        <w:jc w:val="both"/>
        <w:rPr>
          <w:rFonts w:ascii="Times New Roman" w:hAnsi="Times New Roman" w:cs="Times New Roman"/>
          <w:lang w:val="en-GB"/>
        </w:rPr>
      </w:pPr>
      <w:r w:rsidRPr="00F07551">
        <w:rPr>
          <w:rFonts w:ascii="Times New Roman" w:hAnsi="Times New Roman" w:cs="Times New Roman"/>
          <w:b/>
          <w:lang w:val="en-GB"/>
        </w:rPr>
        <w:t>Energy Tax Policy</w:t>
      </w:r>
      <w:r w:rsidR="0021769D">
        <w:rPr>
          <w:rFonts w:ascii="Times New Roman" w:hAnsi="Times New Roman" w:cs="Times New Roman"/>
          <w:lang w:val="en-GB"/>
        </w:rPr>
        <w:t xml:space="preserve">: History and Current Issues. </w:t>
      </w:r>
      <w:r w:rsidRPr="00F07551">
        <w:rPr>
          <w:rFonts w:ascii="Times New Roman" w:hAnsi="Times New Roman" w:cs="Times New Roman"/>
          <w:lang w:val="en-GB"/>
        </w:rPr>
        <w:t>CRS Report for Congress</w:t>
      </w:r>
      <w:r w:rsidR="00AC152A">
        <w:rPr>
          <w:rFonts w:ascii="Times New Roman" w:hAnsi="Times New Roman" w:cs="Times New Roman"/>
          <w:lang w:val="en-GB"/>
        </w:rPr>
        <w:t xml:space="preserve">, </w:t>
      </w:r>
      <w:r w:rsidR="00AC152A" w:rsidRPr="00F07551">
        <w:rPr>
          <w:rFonts w:ascii="Times New Roman" w:hAnsi="Times New Roman" w:cs="Times New Roman"/>
          <w:lang w:val="en-GB"/>
        </w:rPr>
        <w:t>200</w:t>
      </w:r>
      <w:r w:rsidR="00AC152A">
        <w:rPr>
          <w:rFonts w:ascii="Times New Roman" w:hAnsi="Times New Roman" w:cs="Times New Roman"/>
          <w:lang w:val="en-GB"/>
        </w:rPr>
        <w:t xml:space="preserve">8. </w:t>
      </w:r>
      <w:hyperlink r:id="rId46" w:history="1">
        <w:r w:rsidR="00BF538B" w:rsidRPr="00CA1492">
          <w:rPr>
            <w:rStyle w:val="Hiperhivatkozs"/>
            <w:rFonts w:ascii="Times New Roman" w:hAnsi="Times New Roman" w:cs="Times New Roman"/>
            <w:lang w:val="en-GB"/>
          </w:rPr>
          <w:t>www.fas.org/sgp/crs/misc/RL33578.pdf</w:t>
        </w:r>
      </w:hyperlink>
    </w:p>
    <w:p w:rsidR="00776DB2" w:rsidRPr="00F07551" w:rsidRDefault="00776DB2" w:rsidP="00DA46C6">
      <w:pPr>
        <w:autoSpaceDE w:val="0"/>
        <w:autoSpaceDN w:val="0"/>
        <w:adjustRightInd w:val="0"/>
        <w:spacing w:after="0" w:line="360" w:lineRule="auto"/>
        <w:jc w:val="both"/>
        <w:rPr>
          <w:rFonts w:ascii="Times New Roman" w:hAnsi="Times New Roman" w:cs="Times New Roman"/>
          <w:lang w:val="en-GB"/>
        </w:rPr>
      </w:pPr>
      <w:r w:rsidRPr="00F07551">
        <w:rPr>
          <w:rFonts w:ascii="Times New Roman" w:hAnsi="Times New Roman" w:cs="Times New Roman"/>
          <w:b/>
          <w:lang w:val="en-GB"/>
        </w:rPr>
        <w:t>Environmental Signals</w:t>
      </w:r>
      <w:r w:rsidRPr="00F07551">
        <w:rPr>
          <w:rFonts w:ascii="Times New Roman" w:hAnsi="Times New Roman" w:cs="Times New Roman"/>
          <w:lang w:val="en-GB"/>
        </w:rPr>
        <w:t>: Environmental Taxes</w:t>
      </w:r>
      <w:r w:rsidR="00AC152A">
        <w:rPr>
          <w:rFonts w:ascii="Times New Roman" w:hAnsi="Times New Roman" w:cs="Times New Roman"/>
          <w:lang w:val="en-GB"/>
        </w:rPr>
        <w:t xml:space="preserve">, </w:t>
      </w:r>
      <w:r w:rsidR="00AC152A" w:rsidRPr="00F07551">
        <w:rPr>
          <w:rFonts w:ascii="Times New Roman" w:hAnsi="Times New Roman" w:cs="Times New Roman"/>
          <w:lang w:val="en-GB"/>
        </w:rPr>
        <w:t>2002</w:t>
      </w:r>
      <w:r w:rsidR="00AC152A">
        <w:rPr>
          <w:rFonts w:ascii="Times New Roman" w:hAnsi="Times New Roman" w:cs="Times New Roman"/>
          <w:lang w:val="en-GB"/>
        </w:rPr>
        <w:t>.</w:t>
      </w:r>
      <w:r w:rsidR="00AC152A">
        <w:rPr>
          <w:rFonts w:ascii="Times New Roman" w:hAnsi="Times New Roman" w:cs="Times New Roman"/>
          <w:lang w:val="en-GB"/>
        </w:rPr>
        <w:tab/>
        <w:t xml:space="preserve"> </w:t>
      </w:r>
      <w:hyperlink r:id="rId47" w:history="1">
        <w:r w:rsidR="00BF538B" w:rsidRPr="00500343">
          <w:rPr>
            <w:rStyle w:val="Hiperhivatkozs"/>
            <w:rFonts w:ascii="Times New Roman" w:hAnsi="Times New Roman" w:cs="Times New Roman"/>
            <w:lang w:val="en-GB"/>
          </w:rPr>
          <w:t>www.google.hu/url?sa=t&amp;rct=j&amp;q=&amp;esrc=s&amp;source=web&amp;cd=1&amp;ved=0CCkQFjAA&amp;url=http%3A%2F%2Fwww.eea.europa.eu%2Fpublications%2Fenvironmental_assessment_report_2002_9%2Fsig02LOW.pdf&amp;ei=co9hUKKAJMrNtAa_94HwCw&amp;usg=AFQjCNFtALeN0XDKBvwHlf0rzro0PhJVyw</w:t>
        </w:r>
      </w:hyperlink>
    </w:p>
    <w:p w:rsidR="00776DB2" w:rsidRPr="00F07551" w:rsidRDefault="00776DB2" w:rsidP="00DA46C6">
      <w:pPr>
        <w:autoSpaceDE w:val="0"/>
        <w:autoSpaceDN w:val="0"/>
        <w:adjustRightInd w:val="0"/>
        <w:spacing w:after="0" w:line="360" w:lineRule="auto"/>
        <w:jc w:val="both"/>
        <w:rPr>
          <w:rFonts w:ascii="Times New Roman" w:hAnsi="Times New Roman" w:cs="Times New Roman"/>
          <w:lang w:val="en-GB"/>
        </w:rPr>
      </w:pPr>
      <w:r w:rsidRPr="00F07551">
        <w:rPr>
          <w:rFonts w:ascii="Times New Roman" w:hAnsi="Times New Roman" w:cs="Times New Roman"/>
          <w:b/>
          <w:lang w:val="en-GB"/>
        </w:rPr>
        <w:lastRenderedPageBreak/>
        <w:t>Environmental Tax and Fiscal Reform Elements in Germany</w:t>
      </w:r>
      <w:r w:rsidR="00DA46C6">
        <w:rPr>
          <w:rFonts w:ascii="Times New Roman" w:hAnsi="Times New Roman" w:cs="Times New Roman"/>
          <w:lang w:val="en-GB"/>
        </w:rPr>
        <w:t xml:space="preserve">, </w:t>
      </w:r>
      <w:r w:rsidRPr="00F07551">
        <w:rPr>
          <w:rFonts w:ascii="Times New Roman" w:hAnsi="Times New Roman" w:cs="Times New Roman"/>
          <w:lang w:val="en-GB"/>
        </w:rPr>
        <w:t xml:space="preserve">lisszaboni előadás, 2011. </w:t>
      </w:r>
      <w:r w:rsidR="00DA46C6">
        <w:rPr>
          <w:rFonts w:ascii="Times New Roman" w:hAnsi="Times New Roman" w:cs="Times New Roman"/>
          <w:lang w:val="en-GB"/>
        </w:rPr>
        <w:t>04.</w:t>
      </w:r>
      <w:r w:rsidRPr="00F07551">
        <w:rPr>
          <w:rFonts w:ascii="Times New Roman" w:hAnsi="Times New Roman" w:cs="Times New Roman"/>
          <w:lang w:val="en-GB"/>
        </w:rPr>
        <w:t xml:space="preserve"> 19.</w:t>
      </w:r>
      <w:r w:rsidR="00DA46C6">
        <w:rPr>
          <w:rFonts w:ascii="Times New Roman" w:hAnsi="Times New Roman" w:cs="Times New Roman"/>
          <w:lang w:val="en-GB"/>
        </w:rPr>
        <w:br/>
      </w:r>
      <w:hyperlink r:id="rId48" w:history="1">
        <w:r w:rsidR="00BF538B" w:rsidRPr="00CA1492">
          <w:rPr>
            <w:rStyle w:val="Hiperhivatkozs"/>
            <w:rFonts w:ascii="Times New Roman" w:hAnsi="Times New Roman" w:cs="Times New Roman"/>
          </w:rPr>
          <w:t>www.geota.pt/xFiles/scContentDeployer_pt/docs/articleFile377.pdf</w:t>
        </w:r>
      </w:hyperlink>
    </w:p>
    <w:p w:rsidR="00776DB2" w:rsidRPr="00F07551" w:rsidRDefault="00776DB2" w:rsidP="00DA46C6">
      <w:pPr>
        <w:autoSpaceDE w:val="0"/>
        <w:autoSpaceDN w:val="0"/>
        <w:adjustRightInd w:val="0"/>
        <w:spacing w:after="0" w:line="360" w:lineRule="auto"/>
        <w:jc w:val="both"/>
        <w:rPr>
          <w:rFonts w:ascii="Times New Roman" w:hAnsi="Times New Roman" w:cs="Times New Roman"/>
          <w:lang w:val="en-GB"/>
        </w:rPr>
      </w:pPr>
      <w:r w:rsidRPr="00F07551">
        <w:rPr>
          <w:rFonts w:ascii="Times New Roman" w:hAnsi="Times New Roman" w:cs="Times New Roman"/>
          <w:b/>
          <w:lang w:val="en-GB"/>
        </w:rPr>
        <w:t>Environmental taxes in Hungary</w:t>
      </w:r>
      <w:r w:rsidR="00AC152A">
        <w:rPr>
          <w:rFonts w:ascii="Times New Roman" w:hAnsi="Times New Roman" w:cs="Times New Roman"/>
          <w:lang w:val="en-GB"/>
        </w:rPr>
        <w:t>: Final Report, 2011.</w:t>
      </w:r>
      <w:r w:rsidR="006F30B0">
        <w:rPr>
          <w:rFonts w:ascii="Times New Roman" w:hAnsi="Times New Roman" w:cs="Times New Roman"/>
          <w:lang w:val="en-GB"/>
        </w:rPr>
        <w:tab/>
      </w:r>
      <w:r w:rsidR="006F30B0">
        <w:t xml:space="preserve"> </w:t>
      </w:r>
      <w:hyperlink r:id="rId49" w:history="1">
        <w:r w:rsidR="00500343" w:rsidRPr="00CA1492">
          <w:rPr>
            <w:rStyle w:val="Hiperhivatkozs"/>
            <w:rFonts w:ascii="Times New Roman" w:hAnsi="Times New Roman" w:cs="Times New Roman"/>
          </w:rPr>
          <w:t>www.ksh.hu/docs/eng/xftp/idoszaki/ekornyhelyzetkep11.pdf</w:t>
        </w:r>
      </w:hyperlink>
      <w:r w:rsidRPr="00F07551">
        <w:rPr>
          <w:rFonts w:ascii="Times New Roman" w:hAnsi="Times New Roman" w:cs="Times New Roman"/>
          <w:lang w:val="en-GB"/>
        </w:rPr>
        <w:tab/>
      </w:r>
    </w:p>
    <w:p w:rsidR="00776DB2" w:rsidRPr="00F07551" w:rsidRDefault="00776DB2" w:rsidP="00DA46C6">
      <w:pPr>
        <w:autoSpaceDE w:val="0"/>
        <w:autoSpaceDN w:val="0"/>
        <w:adjustRightInd w:val="0"/>
        <w:spacing w:after="0" w:line="360" w:lineRule="auto"/>
        <w:jc w:val="both"/>
        <w:rPr>
          <w:rFonts w:ascii="Times New Roman" w:hAnsi="Times New Roman" w:cs="Times New Roman"/>
          <w:color w:val="000000"/>
          <w:w w:val="103"/>
          <w:lang w:val="en-GB"/>
        </w:rPr>
      </w:pPr>
      <w:r w:rsidRPr="00F07551">
        <w:rPr>
          <w:rFonts w:ascii="Times New Roman" w:hAnsi="Times New Roman" w:cs="Times New Roman"/>
          <w:b/>
          <w:color w:val="000000"/>
          <w:spacing w:val="-3"/>
          <w:lang w:val="en-GB"/>
        </w:rPr>
        <w:t>F</w:t>
      </w:r>
      <w:r w:rsidRPr="00F07551">
        <w:rPr>
          <w:rFonts w:ascii="Times New Roman" w:hAnsi="Times New Roman" w:cs="Times New Roman"/>
          <w:b/>
          <w:color w:val="000000"/>
          <w:spacing w:val="7"/>
          <w:lang w:val="en-GB"/>
        </w:rPr>
        <w:t>I</w:t>
      </w:r>
      <w:r w:rsidRPr="00F07551">
        <w:rPr>
          <w:rFonts w:ascii="Times New Roman" w:hAnsi="Times New Roman" w:cs="Times New Roman"/>
          <w:b/>
          <w:color w:val="000000"/>
          <w:spacing w:val="-1"/>
          <w:lang w:val="en-GB"/>
        </w:rPr>
        <w:t>EL</w:t>
      </w:r>
      <w:r w:rsidRPr="00F07551">
        <w:rPr>
          <w:rFonts w:ascii="Times New Roman" w:hAnsi="Times New Roman" w:cs="Times New Roman"/>
          <w:b/>
          <w:color w:val="000000"/>
          <w:lang w:val="en-GB"/>
        </w:rPr>
        <w:t xml:space="preserve">D </w:t>
      </w:r>
      <w:r w:rsidRPr="00F07551">
        <w:rPr>
          <w:rFonts w:ascii="Times New Roman" w:hAnsi="Times New Roman" w:cs="Times New Roman"/>
          <w:color w:val="000000"/>
          <w:spacing w:val="1"/>
          <w:lang w:val="en-GB"/>
        </w:rPr>
        <w:t>A</w:t>
      </w:r>
      <w:r w:rsidRPr="00F07551">
        <w:rPr>
          <w:rFonts w:ascii="Times New Roman" w:hAnsi="Times New Roman" w:cs="Times New Roman"/>
          <w:color w:val="000000"/>
          <w:spacing w:val="-4"/>
          <w:lang w:val="en-GB"/>
        </w:rPr>
        <w:t>nd</w:t>
      </w:r>
      <w:r w:rsidRPr="00F07551">
        <w:rPr>
          <w:rFonts w:ascii="Times New Roman" w:hAnsi="Times New Roman" w:cs="Times New Roman"/>
          <w:color w:val="000000"/>
          <w:spacing w:val="7"/>
          <w:lang w:val="en-GB"/>
        </w:rPr>
        <w:t>r</w:t>
      </w:r>
      <w:r w:rsidRPr="00F07551">
        <w:rPr>
          <w:rFonts w:ascii="Times New Roman" w:hAnsi="Times New Roman" w:cs="Times New Roman"/>
          <w:color w:val="000000"/>
          <w:spacing w:val="3"/>
          <w:lang w:val="en-GB"/>
        </w:rPr>
        <w:t>e</w:t>
      </w:r>
      <w:r w:rsidRPr="00F07551">
        <w:rPr>
          <w:rFonts w:ascii="Times New Roman" w:hAnsi="Times New Roman" w:cs="Times New Roman"/>
          <w:color w:val="000000"/>
          <w:lang w:val="en-GB"/>
        </w:rPr>
        <w:t xml:space="preserve">w: </w:t>
      </w:r>
      <w:r w:rsidRPr="00F07551">
        <w:rPr>
          <w:rFonts w:ascii="Times New Roman" w:hAnsi="Times New Roman" w:cs="Times New Roman"/>
          <w:color w:val="000000"/>
          <w:spacing w:val="1"/>
          <w:lang w:val="en-GB"/>
        </w:rPr>
        <w:t>U</w:t>
      </w:r>
      <w:r w:rsidRPr="00F07551">
        <w:rPr>
          <w:rFonts w:ascii="Times New Roman" w:hAnsi="Times New Roman" w:cs="Times New Roman"/>
          <w:color w:val="000000"/>
          <w:lang w:val="en-GB"/>
        </w:rPr>
        <w:t xml:space="preserve">K </w:t>
      </w:r>
      <w:r w:rsidRPr="00F07551">
        <w:rPr>
          <w:rFonts w:ascii="Times New Roman" w:hAnsi="Times New Roman" w:cs="Times New Roman"/>
          <w:color w:val="000000"/>
          <w:spacing w:val="-1"/>
          <w:lang w:val="en-GB"/>
        </w:rPr>
        <w:t>E</w:t>
      </w:r>
      <w:r w:rsidRPr="00F07551">
        <w:rPr>
          <w:rFonts w:ascii="Times New Roman" w:hAnsi="Times New Roman" w:cs="Times New Roman"/>
          <w:color w:val="000000"/>
          <w:spacing w:val="3"/>
          <w:lang w:val="en-GB"/>
        </w:rPr>
        <w:t>n</w:t>
      </w:r>
      <w:r w:rsidRPr="00F07551">
        <w:rPr>
          <w:rFonts w:ascii="Times New Roman" w:hAnsi="Times New Roman" w:cs="Times New Roman"/>
          <w:color w:val="000000"/>
          <w:spacing w:val="-4"/>
          <w:lang w:val="en-GB"/>
        </w:rPr>
        <w:t>v</w:t>
      </w:r>
      <w:r w:rsidRPr="00F07551">
        <w:rPr>
          <w:rFonts w:ascii="Times New Roman" w:hAnsi="Times New Roman" w:cs="Times New Roman"/>
          <w:color w:val="000000"/>
          <w:spacing w:val="-1"/>
          <w:lang w:val="en-GB"/>
        </w:rPr>
        <w:t>i</w:t>
      </w:r>
      <w:r w:rsidRPr="00F07551">
        <w:rPr>
          <w:rFonts w:ascii="Times New Roman" w:hAnsi="Times New Roman" w:cs="Times New Roman"/>
          <w:color w:val="000000"/>
          <w:spacing w:val="7"/>
          <w:lang w:val="en-GB"/>
        </w:rPr>
        <w:t>r</w:t>
      </w:r>
      <w:r w:rsidRPr="00F07551">
        <w:rPr>
          <w:rFonts w:ascii="Times New Roman" w:hAnsi="Times New Roman" w:cs="Times New Roman"/>
          <w:color w:val="000000"/>
          <w:spacing w:val="3"/>
          <w:lang w:val="en-GB"/>
        </w:rPr>
        <w:t>on</w:t>
      </w:r>
      <w:r w:rsidRPr="00F07551">
        <w:rPr>
          <w:rFonts w:ascii="Times New Roman" w:hAnsi="Times New Roman" w:cs="Times New Roman"/>
          <w:color w:val="000000"/>
          <w:spacing w:val="-5"/>
          <w:lang w:val="en-GB"/>
        </w:rPr>
        <w:t>m</w:t>
      </w:r>
      <w:r w:rsidRPr="00F07551">
        <w:rPr>
          <w:rFonts w:ascii="Times New Roman" w:hAnsi="Times New Roman" w:cs="Times New Roman"/>
          <w:color w:val="000000"/>
          <w:spacing w:val="2"/>
          <w:lang w:val="en-GB"/>
        </w:rPr>
        <w:t>e</w:t>
      </w:r>
      <w:r w:rsidRPr="00F07551">
        <w:rPr>
          <w:rFonts w:ascii="Times New Roman" w:hAnsi="Times New Roman" w:cs="Times New Roman"/>
          <w:color w:val="000000"/>
          <w:spacing w:val="-4"/>
          <w:lang w:val="en-GB"/>
        </w:rPr>
        <w:t>n</w:t>
      </w:r>
      <w:r w:rsidRPr="00F07551">
        <w:rPr>
          <w:rFonts w:ascii="Times New Roman" w:hAnsi="Times New Roman" w:cs="Times New Roman"/>
          <w:color w:val="000000"/>
          <w:spacing w:val="-1"/>
          <w:lang w:val="en-GB"/>
        </w:rPr>
        <w:t>t</w:t>
      </w:r>
      <w:r w:rsidRPr="00F07551">
        <w:rPr>
          <w:rFonts w:ascii="Times New Roman" w:hAnsi="Times New Roman" w:cs="Times New Roman"/>
          <w:color w:val="000000"/>
          <w:spacing w:val="2"/>
          <w:lang w:val="en-GB"/>
        </w:rPr>
        <w:t>a</w:t>
      </w:r>
      <w:r w:rsidRPr="00F07551">
        <w:rPr>
          <w:rFonts w:ascii="Times New Roman" w:hAnsi="Times New Roman" w:cs="Times New Roman"/>
          <w:color w:val="000000"/>
          <w:lang w:val="en-GB"/>
        </w:rPr>
        <w:t xml:space="preserve">l </w:t>
      </w:r>
      <w:r w:rsidRPr="00F07551">
        <w:rPr>
          <w:rFonts w:ascii="Times New Roman" w:hAnsi="Times New Roman" w:cs="Times New Roman"/>
          <w:color w:val="000000"/>
          <w:spacing w:val="6"/>
          <w:lang w:val="en-GB"/>
        </w:rPr>
        <w:t>T</w:t>
      </w:r>
      <w:r w:rsidRPr="00F07551">
        <w:rPr>
          <w:rFonts w:ascii="Times New Roman" w:hAnsi="Times New Roman" w:cs="Times New Roman"/>
          <w:color w:val="000000"/>
          <w:spacing w:val="2"/>
          <w:lang w:val="en-GB"/>
        </w:rPr>
        <w:t>a</w:t>
      </w:r>
      <w:r w:rsidRPr="00F07551">
        <w:rPr>
          <w:rFonts w:ascii="Times New Roman" w:hAnsi="Times New Roman" w:cs="Times New Roman"/>
          <w:color w:val="000000"/>
          <w:lang w:val="en-GB"/>
        </w:rPr>
        <w:t xml:space="preserve">x </w:t>
      </w:r>
      <w:r w:rsidRPr="00F07551">
        <w:rPr>
          <w:rFonts w:ascii="Times New Roman" w:hAnsi="Times New Roman" w:cs="Times New Roman"/>
          <w:color w:val="000000"/>
          <w:spacing w:val="5"/>
          <w:lang w:val="en-GB"/>
        </w:rPr>
        <w:t>P</w:t>
      </w:r>
      <w:r w:rsidRPr="00F07551">
        <w:rPr>
          <w:rFonts w:ascii="Times New Roman" w:hAnsi="Times New Roman" w:cs="Times New Roman"/>
          <w:color w:val="000000"/>
          <w:spacing w:val="-4"/>
          <w:lang w:val="en-GB"/>
        </w:rPr>
        <w:t>o</w:t>
      </w:r>
      <w:r w:rsidRPr="00F07551">
        <w:rPr>
          <w:rFonts w:ascii="Times New Roman" w:hAnsi="Times New Roman" w:cs="Times New Roman"/>
          <w:color w:val="000000"/>
          <w:spacing w:val="6"/>
          <w:lang w:val="en-GB"/>
        </w:rPr>
        <w:t>l</w:t>
      </w:r>
      <w:r w:rsidRPr="00F07551">
        <w:rPr>
          <w:rFonts w:ascii="Times New Roman" w:hAnsi="Times New Roman" w:cs="Times New Roman"/>
          <w:color w:val="000000"/>
          <w:spacing w:val="-1"/>
          <w:lang w:val="en-GB"/>
        </w:rPr>
        <w:t>i</w:t>
      </w:r>
      <w:r w:rsidRPr="00F07551">
        <w:rPr>
          <w:rFonts w:ascii="Times New Roman" w:hAnsi="Times New Roman" w:cs="Times New Roman"/>
          <w:color w:val="000000"/>
          <w:spacing w:val="2"/>
          <w:lang w:val="en-GB"/>
        </w:rPr>
        <w:t>c</w:t>
      </w:r>
      <w:r w:rsidRPr="00F07551">
        <w:rPr>
          <w:rFonts w:ascii="Times New Roman" w:hAnsi="Times New Roman" w:cs="Times New Roman"/>
          <w:color w:val="000000"/>
          <w:lang w:val="en-GB"/>
        </w:rPr>
        <w:t xml:space="preserve">y </w:t>
      </w:r>
      <w:r w:rsidRPr="00F07551">
        <w:rPr>
          <w:rFonts w:ascii="Times New Roman" w:hAnsi="Times New Roman" w:cs="Times New Roman"/>
          <w:color w:val="000000"/>
          <w:spacing w:val="10"/>
          <w:lang w:val="en-GB"/>
        </w:rPr>
        <w:t>a</w:t>
      </w:r>
      <w:r w:rsidRPr="00F07551">
        <w:rPr>
          <w:rFonts w:ascii="Times New Roman" w:hAnsi="Times New Roman" w:cs="Times New Roman"/>
          <w:color w:val="000000"/>
          <w:spacing w:val="3"/>
          <w:lang w:val="en-GB"/>
        </w:rPr>
        <w:t>n</w:t>
      </w:r>
      <w:r w:rsidRPr="00F07551">
        <w:rPr>
          <w:rFonts w:ascii="Times New Roman" w:hAnsi="Times New Roman" w:cs="Times New Roman"/>
          <w:color w:val="000000"/>
          <w:lang w:val="en-GB"/>
        </w:rPr>
        <w:t>d</w:t>
      </w:r>
      <w:r w:rsidRPr="00F07551">
        <w:rPr>
          <w:rFonts w:ascii="Times New Roman" w:hAnsi="Times New Roman" w:cs="Times New Roman"/>
          <w:color w:val="000000"/>
          <w:spacing w:val="14"/>
          <w:lang w:val="en-GB"/>
        </w:rPr>
        <w:t xml:space="preserve"> </w:t>
      </w:r>
      <w:r w:rsidRPr="00F07551">
        <w:rPr>
          <w:rFonts w:ascii="Times New Roman" w:hAnsi="Times New Roman" w:cs="Times New Roman"/>
          <w:color w:val="000000"/>
          <w:lang w:val="en-GB"/>
        </w:rPr>
        <w:t>C</w:t>
      </w:r>
      <w:r w:rsidRPr="00F07551">
        <w:rPr>
          <w:rFonts w:ascii="Times New Roman" w:hAnsi="Times New Roman" w:cs="Times New Roman"/>
          <w:color w:val="000000"/>
          <w:spacing w:val="6"/>
          <w:lang w:val="en-GB"/>
        </w:rPr>
        <w:t>li</w:t>
      </w:r>
      <w:r w:rsidRPr="00F07551">
        <w:rPr>
          <w:rFonts w:ascii="Times New Roman" w:hAnsi="Times New Roman" w:cs="Times New Roman"/>
          <w:color w:val="000000"/>
          <w:spacing w:val="-5"/>
          <w:lang w:val="en-GB"/>
        </w:rPr>
        <w:t>m</w:t>
      </w:r>
      <w:r w:rsidRPr="00F07551">
        <w:rPr>
          <w:rFonts w:ascii="Times New Roman" w:hAnsi="Times New Roman" w:cs="Times New Roman"/>
          <w:color w:val="000000"/>
          <w:spacing w:val="2"/>
          <w:lang w:val="en-GB"/>
        </w:rPr>
        <w:t>a</w:t>
      </w:r>
      <w:r w:rsidRPr="00F07551">
        <w:rPr>
          <w:rFonts w:ascii="Times New Roman" w:hAnsi="Times New Roman" w:cs="Times New Roman"/>
          <w:color w:val="000000"/>
          <w:spacing w:val="6"/>
          <w:lang w:val="en-GB"/>
        </w:rPr>
        <w:t>t</w:t>
      </w:r>
      <w:r w:rsidRPr="00F07551">
        <w:rPr>
          <w:rFonts w:ascii="Times New Roman" w:hAnsi="Times New Roman" w:cs="Times New Roman"/>
          <w:color w:val="000000"/>
          <w:lang w:val="en-GB"/>
        </w:rPr>
        <w:t>e</w:t>
      </w:r>
      <w:r w:rsidRPr="00F07551">
        <w:rPr>
          <w:rFonts w:ascii="Times New Roman" w:hAnsi="Times New Roman" w:cs="Times New Roman"/>
          <w:color w:val="000000"/>
          <w:spacing w:val="32"/>
          <w:lang w:val="en-GB"/>
        </w:rPr>
        <w:t xml:space="preserve"> </w:t>
      </w:r>
      <w:r w:rsidRPr="00F07551">
        <w:rPr>
          <w:rFonts w:ascii="Times New Roman" w:hAnsi="Times New Roman" w:cs="Times New Roman"/>
          <w:color w:val="000000"/>
          <w:spacing w:val="7"/>
          <w:lang w:val="en-GB"/>
        </w:rPr>
        <w:t>C</w:t>
      </w:r>
      <w:r w:rsidRPr="00F07551">
        <w:rPr>
          <w:rFonts w:ascii="Times New Roman" w:hAnsi="Times New Roman" w:cs="Times New Roman"/>
          <w:color w:val="000000"/>
          <w:spacing w:val="-4"/>
          <w:lang w:val="en-GB"/>
        </w:rPr>
        <w:t>h</w:t>
      </w:r>
      <w:r w:rsidRPr="00F07551">
        <w:rPr>
          <w:rFonts w:ascii="Times New Roman" w:hAnsi="Times New Roman" w:cs="Times New Roman"/>
          <w:color w:val="000000"/>
          <w:spacing w:val="2"/>
          <w:lang w:val="en-GB"/>
        </w:rPr>
        <w:t>a</w:t>
      </w:r>
      <w:r w:rsidRPr="00F07551">
        <w:rPr>
          <w:rFonts w:ascii="Times New Roman" w:hAnsi="Times New Roman" w:cs="Times New Roman"/>
          <w:color w:val="000000"/>
          <w:spacing w:val="3"/>
          <w:lang w:val="en-GB"/>
        </w:rPr>
        <w:t>ng</w:t>
      </w:r>
      <w:r w:rsidRPr="00F07551">
        <w:rPr>
          <w:rFonts w:ascii="Times New Roman" w:hAnsi="Times New Roman" w:cs="Times New Roman"/>
          <w:color w:val="000000"/>
          <w:lang w:val="en-GB"/>
        </w:rPr>
        <w:t>e</w:t>
      </w:r>
      <w:r w:rsidRPr="00F07551">
        <w:rPr>
          <w:rFonts w:ascii="Times New Roman" w:hAnsi="Times New Roman" w:cs="Times New Roman"/>
          <w:color w:val="000000"/>
          <w:spacing w:val="23"/>
          <w:lang w:val="en-GB"/>
        </w:rPr>
        <w:t xml:space="preserve"> </w:t>
      </w:r>
      <w:r w:rsidRPr="00F07551">
        <w:rPr>
          <w:rFonts w:ascii="Times New Roman" w:hAnsi="Times New Roman" w:cs="Times New Roman"/>
          <w:color w:val="000000"/>
          <w:spacing w:val="6"/>
          <w:lang w:val="en-GB"/>
        </w:rPr>
        <w:t>L</w:t>
      </w:r>
      <w:r w:rsidRPr="00F07551">
        <w:rPr>
          <w:rFonts w:ascii="Times New Roman" w:hAnsi="Times New Roman" w:cs="Times New Roman"/>
          <w:color w:val="000000"/>
          <w:spacing w:val="2"/>
          <w:lang w:val="en-GB"/>
        </w:rPr>
        <w:t>e</w:t>
      </w:r>
      <w:r w:rsidRPr="00F07551">
        <w:rPr>
          <w:rFonts w:ascii="Times New Roman" w:hAnsi="Times New Roman" w:cs="Times New Roman"/>
          <w:color w:val="000000"/>
          <w:spacing w:val="-4"/>
          <w:lang w:val="en-GB"/>
        </w:rPr>
        <w:t>v</w:t>
      </w:r>
      <w:r w:rsidRPr="00F07551">
        <w:rPr>
          <w:rFonts w:ascii="Times New Roman" w:hAnsi="Times New Roman" w:cs="Times New Roman"/>
          <w:color w:val="000000"/>
          <w:spacing w:val="3"/>
          <w:lang w:val="en-GB"/>
        </w:rPr>
        <w:t>y</w:t>
      </w:r>
      <w:r w:rsidRPr="00F07551">
        <w:rPr>
          <w:rFonts w:ascii="Times New Roman" w:hAnsi="Times New Roman" w:cs="Times New Roman"/>
          <w:color w:val="000000"/>
          <w:lang w:val="en-GB"/>
        </w:rPr>
        <w:t>.</w:t>
      </w:r>
      <w:r w:rsidRPr="00F07551">
        <w:rPr>
          <w:rFonts w:ascii="Times New Roman" w:hAnsi="Times New Roman" w:cs="Times New Roman"/>
          <w:color w:val="000000"/>
          <w:spacing w:val="21"/>
          <w:lang w:val="en-GB"/>
        </w:rPr>
        <w:t xml:space="preserve"> </w:t>
      </w:r>
      <w:r w:rsidRPr="00F07551">
        <w:rPr>
          <w:rFonts w:ascii="Times New Roman" w:hAnsi="Times New Roman" w:cs="Times New Roman"/>
          <w:color w:val="000000"/>
          <w:spacing w:val="8"/>
          <w:w w:val="103"/>
          <w:lang w:val="en-GB"/>
        </w:rPr>
        <w:t>H</w:t>
      </w:r>
      <w:r w:rsidRPr="00F07551">
        <w:rPr>
          <w:rFonts w:ascii="Times New Roman" w:hAnsi="Times New Roman" w:cs="Times New Roman"/>
          <w:color w:val="000000"/>
          <w:w w:val="103"/>
          <w:lang w:val="en-GB"/>
        </w:rPr>
        <w:t xml:space="preserve">M </w:t>
      </w:r>
      <w:r w:rsidRPr="00F07551">
        <w:rPr>
          <w:rFonts w:ascii="Times New Roman" w:hAnsi="Times New Roman" w:cs="Times New Roman"/>
          <w:color w:val="000000"/>
          <w:spacing w:val="6"/>
          <w:lang w:val="en-GB"/>
        </w:rPr>
        <w:t>T</w:t>
      </w:r>
      <w:r w:rsidRPr="00F07551">
        <w:rPr>
          <w:rFonts w:ascii="Times New Roman" w:hAnsi="Times New Roman" w:cs="Times New Roman"/>
          <w:color w:val="000000"/>
          <w:lang w:val="en-GB"/>
        </w:rPr>
        <w:t>r</w:t>
      </w:r>
      <w:r w:rsidRPr="00F07551">
        <w:rPr>
          <w:rFonts w:ascii="Times New Roman" w:hAnsi="Times New Roman" w:cs="Times New Roman"/>
          <w:color w:val="000000"/>
          <w:spacing w:val="-5"/>
          <w:lang w:val="en-GB"/>
        </w:rPr>
        <w:t>e</w:t>
      </w:r>
      <w:r w:rsidRPr="00F07551">
        <w:rPr>
          <w:rFonts w:ascii="Times New Roman" w:hAnsi="Times New Roman" w:cs="Times New Roman"/>
          <w:color w:val="000000"/>
          <w:spacing w:val="2"/>
          <w:lang w:val="en-GB"/>
        </w:rPr>
        <w:t>a</w:t>
      </w:r>
      <w:r w:rsidRPr="00F07551">
        <w:rPr>
          <w:rFonts w:ascii="Times New Roman" w:hAnsi="Times New Roman" w:cs="Times New Roman"/>
          <w:color w:val="000000"/>
          <w:spacing w:val="-6"/>
          <w:lang w:val="en-GB"/>
        </w:rPr>
        <w:t>s</w:t>
      </w:r>
      <w:r w:rsidRPr="00F07551">
        <w:rPr>
          <w:rFonts w:ascii="Times New Roman" w:hAnsi="Times New Roman" w:cs="Times New Roman"/>
          <w:color w:val="000000"/>
          <w:spacing w:val="3"/>
          <w:lang w:val="en-GB"/>
        </w:rPr>
        <w:t>u</w:t>
      </w:r>
      <w:r w:rsidRPr="00F07551">
        <w:rPr>
          <w:rFonts w:ascii="Times New Roman" w:hAnsi="Times New Roman" w:cs="Times New Roman"/>
          <w:color w:val="000000"/>
          <w:lang w:val="en-GB"/>
        </w:rPr>
        <w:t>r</w:t>
      </w:r>
      <w:r w:rsidRPr="00F07551">
        <w:rPr>
          <w:rFonts w:ascii="Times New Roman" w:hAnsi="Times New Roman" w:cs="Times New Roman"/>
          <w:color w:val="000000"/>
          <w:spacing w:val="3"/>
          <w:lang w:val="en-GB"/>
        </w:rPr>
        <w:t>y</w:t>
      </w:r>
      <w:r w:rsidRPr="00F07551">
        <w:rPr>
          <w:rFonts w:ascii="Times New Roman" w:hAnsi="Times New Roman" w:cs="Times New Roman"/>
          <w:color w:val="000000"/>
          <w:lang w:val="en-GB"/>
        </w:rPr>
        <w:t xml:space="preserve">, </w:t>
      </w:r>
      <w:r w:rsidRPr="00F07551">
        <w:rPr>
          <w:rFonts w:ascii="Times New Roman" w:hAnsi="Times New Roman" w:cs="Times New Roman"/>
          <w:color w:val="000000"/>
          <w:spacing w:val="1"/>
          <w:lang w:val="en-GB"/>
        </w:rPr>
        <w:t>UK</w:t>
      </w:r>
      <w:r w:rsidRPr="00F07551">
        <w:rPr>
          <w:rFonts w:ascii="Times New Roman" w:hAnsi="Times New Roman" w:cs="Times New Roman"/>
          <w:color w:val="000000"/>
          <w:lang w:val="en-GB"/>
        </w:rPr>
        <w:t>.</w:t>
      </w:r>
      <w:r w:rsidRPr="00F07551">
        <w:rPr>
          <w:rFonts w:ascii="Times New Roman" w:hAnsi="Times New Roman" w:cs="Times New Roman"/>
          <w:color w:val="000000"/>
          <w:spacing w:val="13"/>
          <w:lang w:val="en-GB"/>
        </w:rPr>
        <w:t xml:space="preserve"> </w:t>
      </w:r>
      <w:r w:rsidRPr="00F07551">
        <w:rPr>
          <w:rFonts w:ascii="Times New Roman" w:hAnsi="Times New Roman" w:cs="Times New Roman"/>
          <w:color w:val="000000"/>
          <w:lang w:val="en-GB"/>
        </w:rPr>
        <w:t>Br</w:t>
      </w:r>
      <w:r w:rsidRPr="00F07551">
        <w:rPr>
          <w:rFonts w:ascii="Times New Roman" w:hAnsi="Times New Roman" w:cs="Times New Roman"/>
          <w:color w:val="000000"/>
          <w:spacing w:val="10"/>
          <w:lang w:val="en-GB"/>
        </w:rPr>
        <w:t>u</w:t>
      </w:r>
      <w:r w:rsidRPr="00F07551">
        <w:rPr>
          <w:rFonts w:ascii="Times New Roman" w:hAnsi="Times New Roman" w:cs="Times New Roman"/>
          <w:color w:val="000000"/>
          <w:spacing w:val="1"/>
          <w:lang w:val="en-GB"/>
        </w:rPr>
        <w:t>ss</w:t>
      </w:r>
      <w:r w:rsidRPr="00F07551">
        <w:rPr>
          <w:rFonts w:ascii="Times New Roman" w:hAnsi="Times New Roman" w:cs="Times New Roman"/>
          <w:color w:val="000000"/>
          <w:spacing w:val="-5"/>
          <w:lang w:val="en-GB"/>
        </w:rPr>
        <w:t>e</w:t>
      </w:r>
      <w:r w:rsidRPr="00F07551">
        <w:rPr>
          <w:rFonts w:ascii="Times New Roman" w:hAnsi="Times New Roman" w:cs="Times New Roman"/>
          <w:color w:val="000000"/>
          <w:spacing w:val="6"/>
          <w:lang w:val="en-GB"/>
        </w:rPr>
        <w:t>l</w:t>
      </w:r>
      <w:r w:rsidRPr="00F07551">
        <w:rPr>
          <w:rFonts w:ascii="Times New Roman" w:hAnsi="Times New Roman" w:cs="Times New Roman"/>
          <w:color w:val="000000"/>
          <w:lang w:val="en-GB"/>
        </w:rPr>
        <w:t>s</w:t>
      </w:r>
      <w:r w:rsidRPr="00F07551">
        <w:rPr>
          <w:rFonts w:ascii="Times New Roman" w:hAnsi="Times New Roman" w:cs="Times New Roman"/>
          <w:color w:val="000000"/>
          <w:spacing w:val="17"/>
          <w:lang w:val="en-GB"/>
        </w:rPr>
        <w:t xml:space="preserve"> </w:t>
      </w:r>
      <w:r w:rsidRPr="00F07551">
        <w:rPr>
          <w:rFonts w:ascii="Times New Roman" w:hAnsi="Times New Roman" w:cs="Times New Roman"/>
          <w:color w:val="000000"/>
          <w:spacing w:val="3"/>
          <w:w w:val="103"/>
          <w:lang w:val="en-GB"/>
        </w:rPr>
        <w:t>2002</w:t>
      </w:r>
      <w:r w:rsidRPr="00F07551">
        <w:rPr>
          <w:rFonts w:ascii="Times New Roman" w:hAnsi="Times New Roman" w:cs="Times New Roman"/>
          <w:color w:val="000000"/>
          <w:w w:val="103"/>
          <w:lang w:val="en-GB"/>
        </w:rPr>
        <w:t>.</w:t>
      </w:r>
      <w:r w:rsidR="00DA46C6">
        <w:rPr>
          <w:rFonts w:ascii="Times New Roman" w:hAnsi="Times New Roman" w:cs="Times New Roman"/>
          <w:color w:val="000000"/>
          <w:w w:val="103"/>
          <w:lang w:val="en-GB"/>
        </w:rPr>
        <w:tab/>
      </w:r>
      <w:r w:rsidR="00DA46C6">
        <w:rPr>
          <w:rFonts w:ascii="Times New Roman" w:hAnsi="Times New Roman" w:cs="Times New Roman"/>
          <w:color w:val="000000"/>
          <w:w w:val="103"/>
          <w:lang w:val="en-GB"/>
        </w:rPr>
        <w:br/>
      </w:r>
      <w:r w:rsidR="0021769D" w:rsidRPr="0021769D">
        <w:t xml:space="preserve"> </w:t>
      </w:r>
      <w:hyperlink r:id="rId50" w:history="1">
        <w:r w:rsidR="00BF538B" w:rsidRPr="00CA1492">
          <w:rPr>
            <w:rStyle w:val="Hiperhivatkozs"/>
            <w:rFonts w:ascii="Times New Roman" w:hAnsi="Times New Roman" w:cs="Times New Roman"/>
            <w:w w:val="103"/>
            <w:lang w:val="en-GB"/>
          </w:rPr>
          <w:t>www.oecd.org/env/environmentalpolicytoolsandevaluation/1935530.pdf</w:t>
        </w:r>
      </w:hyperlink>
    </w:p>
    <w:p w:rsidR="00776DB2" w:rsidRPr="004A7EA1" w:rsidRDefault="00776DB2" w:rsidP="00DA46C6">
      <w:pPr>
        <w:autoSpaceDE w:val="0"/>
        <w:autoSpaceDN w:val="0"/>
        <w:adjustRightInd w:val="0"/>
        <w:spacing w:after="0" w:line="360" w:lineRule="auto"/>
        <w:jc w:val="both"/>
        <w:rPr>
          <w:rFonts w:ascii="Times New Roman" w:hAnsi="Times New Roman" w:cs="Times New Roman"/>
        </w:rPr>
      </w:pPr>
      <w:r w:rsidRPr="00F07551">
        <w:rPr>
          <w:rFonts w:ascii="Times New Roman" w:hAnsi="Times New Roman" w:cs="Times New Roman"/>
          <w:b/>
          <w:lang w:val="en-GB"/>
        </w:rPr>
        <w:t xml:space="preserve">FOUQUET </w:t>
      </w:r>
      <w:r w:rsidRPr="00F07551">
        <w:rPr>
          <w:rFonts w:ascii="Times New Roman" w:hAnsi="Times New Roman" w:cs="Times New Roman"/>
          <w:lang w:val="en-GB"/>
        </w:rPr>
        <w:t>Dörte et al.: Energy and Environmental Tax Models From Europe and Their Link to Other Instruments for Sustainability: Policy Evaluation and Dynamics</w:t>
      </w:r>
      <w:r w:rsidRPr="004A7EA1">
        <w:rPr>
          <w:rFonts w:ascii="Times New Roman" w:hAnsi="Times New Roman" w:cs="Times New Roman"/>
        </w:rPr>
        <w:t xml:space="preserve"> of Regional Integration</w:t>
      </w:r>
      <w:r w:rsidR="00590C1A">
        <w:rPr>
          <w:rFonts w:ascii="Times New Roman" w:hAnsi="Times New Roman" w:cs="Times New Roman"/>
        </w:rPr>
        <w:t>.</w:t>
      </w:r>
      <w:r w:rsidR="00DA46C6">
        <w:rPr>
          <w:rFonts w:ascii="Times New Roman" w:hAnsi="Times New Roman" w:cs="Times New Roman"/>
        </w:rPr>
        <w:br/>
      </w:r>
      <w:hyperlink r:id="rId51" w:history="1">
        <w:r w:rsidR="00BF538B" w:rsidRPr="00CA1492">
          <w:rPr>
            <w:rStyle w:val="Hiperhivatkozs"/>
            <w:rFonts w:ascii="Times New Roman" w:hAnsi="Times New Roman" w:cs="Times New Roman"/>
            <w:lang w:val="en-GB"/>
          </w:rPr>
          <w:t>www.energytoolbox.org/gcre/bibliography/160_Doerte_Fouquet_Thomas_Johansson_European_Energy_Tax_Mode.pdf</w:t>
        </w:r>
      </w:hyperlink>
      <w:r w:rsidRPr="004A7EA1">
        <w:rPr>
          <w:rFonts w:ascii="Times New Roman" w:hAnsi="Times New Roman" w:cs="Times New Roman"/>
        </w:rPr>
        <w:tab/>
      </w:r>
    </w:p>
    <w:p w:rsidR="00776DB2" w:rsidRPr="00F27328" w:rsidRDefault="00776DB2" w:rsidP="00DA46C6">
      <w:pPr>
        <w:autoSpaceDE w:val="0"/>
        <w:autoSpaceDN w:val="0"/>
        <w:adjustRightInd w:val="0"/>
        <w:spacing w:after="0" w:line="360" w:lineRule="auto"/>
        <w:jc w:val="both"/>
        <w:rPr>
          <w:rFonts w:ascii="Times New Roman" w:hAnsi="Times New Roman" w:cs="Times New Roman"/>
        </w:rPr>
      </w:pPr>
      <w:r w:rsidRPr="00F27328">
        <w:rPr>
          <w:rFonts w:ascii="Times New Roman" w:hAnsi="Times New Roman" w:cs="Times New Roman"/>
          <w:b/>
        </w:rPr>
        <w:t xml:space="preserve">GALÁNTAINÉ </w:t>
      </w:r>
      <w:r w:rsidR="00A43227">
        <w:rPr>
          <w:rFonts w:ascii="Times New Roman" w:hAnsi="Times New Roman" w:cs="Times New Roman"/>
        </w:rPr>
        <w:t>Máté</w:t>
      </w:r>
      <w:r w:rsidRPr="00F27328">
        <w:rPr>
          <w:rFonts w:ascii="Times New Roman" w:hAnsi="Times New Roman" w:cs="Times New Roman"/>
          <w:b/>
        </w:rPr>
        <w:t xml:space="preserve"> </w:t>
      </w:r>
      <w:r w:rsidR="00AC152A">
        <w:rPr>
          <w:rFonts w:ascii="Times New Roman" w:hAnsi="Times New Roman" w:cs="Times New Roman"/>
        </w:rPr>
        <w:t>Zsuzsa</w:t>
      </w:r>
      <w:r w:rsidRPr="00F27328">
        <w:rPr>
          <w:rFonts w:ascii="Times New Roman" w:hAnsi="Times New Roman" w:cs="Times New Roman"/>
        </w:rPr>
        <w:t>: Adó (rendszer)tan – EU-konform magyar adók, Budapest, AULA Kiadó Kft.</w:t>
      </w:r>
      <w:r w:rsidR="00AC152A" w:rsidRPr="00AC152A">
        <w:rPr>
          <w:rFonts w:ascii="Times New Roman" w:hAnsi="Times New Roman" w:cs="Times New Roman"/>
        </w:rPr>
        <w:t xml:space="preserve"> </w:t>
      </w:r>
      <w:r w:rsidR="00AC152A" w:rsidRPr="00F27328">
        <w:rPr>
          <w:rFonts w:ascii="Times New Roman" w:hAnsi="Times New Roman" w:cs="Times New Roman"/>
        </w:rPr>
        <w:t>2004</w:t>
      </w:r>
      <w:r w:rsidR="00AC152A">
        <w:rPr>
          <w:rFonts w:ascii="Times New Roman" w:hAnsi="Times New Roman" w:cs="Times New Roman"/>
        </w:rPr>
        <w:t>.</w:t>
      </w:r>
    </w:p>
    <w:p w:rsidR="00776DB2" w:rsidRPr="004A7EA1" w:rsidRDefault="00776DB2" w:rsidP="00DA46C6">
      <w:pPr>
        <w:autoSpaceDE w:val="0"/>
        <w:autoSpaceDN w:val="0"/>
        <w:adjustRightInd w:val="0"/>
        <w:spacing w:after="0" w:line="360" w:lineRule="auto"/>
        <w:jc w:val="both"/>
        <w:rPr>
          <w:rFonts w:ascii="Times New Roman" w:hAnsi="Times New Roman" w:cs="Times New Roman"/>
        </w:rPr>
      </w:pPr>
      <w:r w:rsidRPr="004A7EA1">
        <w:rPr>
          <w:rFonts w:ascii="Times New Roman" w:hAnsi="Times New Roman" w:cs="Times New Roman"/>
          <w:b/>
        </w:rPr>
        <w:t>Green Paper</w:t>
      </w:r>
      <w:r w:rsidRPr="004A7EA1">
        <w:rPr>
          <w:rFonts w:ascii="Times New Roman" w:hAnsi="Times New Roman" w:cs="Times New Roman"/>
        </w:rPr>
        <w:t xml:space="preserve"> on Market-based Instruments for Environment and Related policy Purposes, 15. p., COM (2007) 140 final</w:t>
      </w:r>
      <w:r w:rsidR="006B1BD9">
        <w:rPr>
          <w:rFonts w:ascii="Times New Roman" w:hAnsi="Times New Roman" w:cs="Times New Roman"/>
        </w:rPr>
        <w:t>.</w:t>
      </w:r>
      <w:r w:rsidR="006B1BD9" w:rsidRPr="006B1BD9">
        <w:t xml:space="preserve"> </w:t>
      </w:r>
      <w:r w:rsidR="00DA46C6">
        <w:tab/>
      </w:r>
      <w:r w:rsidR="00DA46C6">
        <w:br/>
      </w:r>
      <w:hyperlink r:id="rId52" w:history="1">
        <w:r w:rsidR="006B1BD9" w:rsidRPr="006B1BD9">
          <w:rPr>
            <w:rStyle w:val="Hiperhivatkozs"/>
            <w:rFonts w:ascii="Times New Roman" w:hAnsi="Times New Roman" w:cs="Times New Roman"/>
          </w:rPr>
          <w:t>http://eur-lex.europa.eu/LexUriServ/site/en/com/2007/com2007_0140en01.pdf</w:t>
        </w:r>
      </w:hyperlink>
    </w:p>
    <w:p w:rsidR="00776DB2" w:rsidRPr="008E3FD6" w:rsidRDefault="00776DB2" w:rsidP="00DA46C6">
      <w:pPr>
        <w:pStyle w:val="Lbjegyzetszveg"/>
        <w:spacing w:line="360" w:lineRule="auto"/>
        <w:jc w:val="both"/>
        <w:rPr>
          <w:rFonts w:ascii="Times New Roman" w:hAnsi="Times New Roman" w:cs="Times New Roman"/>
        </w:rPr>
      </w:pPr>
      <w:r w:rsidRPr="008E3FD6">
        <w:rPr>
          <w:rFonts w:ascii="Times New Roman" w:hAnsi="Times New Roman" w:cs="Times New Roman"/>
          <w:b/>
          <w:sz w:val="22"/>
        </w:rPr>
        <w:t xml:space="preserve">HASSELKNIPPE </w:t>
      </w:r>
      <w:r w:rsidRPr="008E3FD6">
        <w:rPr>
          <w:rFonts w:ascii="Times New Roman" w:hAnsi="Times New Roman" w:cs="Times New Roman"/>
          <w:sz w:val="22"/>
        </w:rPr>
        <w:t xml:space="preserve">Stefan </w:t>
      </w:r>
      <w:r w:rsidR="00AC152A">
        <w:rPr>
          <w:rFonts w:ascii="Times New Roman" w:hAnsi="Times New Roman" w:cs="Times New Roman"/>
          <w:sz w:val="22"/>
        </w:rPr>
        <w:t>&amp;</w:t>
      </w:r>
      <w:r w:rsidRPr="008E3FD6">
        <w:rPr>
          <w:rFonts w:ascii="Times New Roman" w:hAnsi="Times New Roman" w:cs="Times New Roman"/>
          <w:sz w:val="22"/>
        </w:rPr>
        <w:t xml:space="preserve"> </w:t>
      </w:r>
      <w:r w:rsidRPr="008E3FD6">
        <w:rPr>
          <w:rFonts w:ascii="Times New Roman" w:hAnsi="Times New Roman" w:cs="Times New Roman"/>
          <w:b/>
          <w:sz w:val="22"/>
        </w:rPr>
        <w:t xml:space="preserve">CHRISTIANSEN </w:t>
      </w:r>
      <w:r w:rsidR="00AC152A">
        <w:rPr>
          <w:rFonts w:ascii="Times New Roman" w:hAnsi="Times New Roman" w:cs="Times New Roman"/>
          <w:sz w:val="22"/>
        </w:rPr>
        <w:t>Atle Christer</w:t>
      </w:r>
      <w:r w:rsidRPr="008E3FD6">
        <w:rPr>
          <w:rFonts w:ascii="Times New Roman" w:hAnsi="Times New Roman" w:cs="Times New Roman"/>
          <w:sz w:val="22"/>
        </w:rPr>
        <w:t xml:space="preserve">: Energy Taxation in Europe: Current Status – Drivers and Barriers – Future Prospects. </w:t>
      </w:r>
      <w:r w:rsidR="00AC152A" w:rsidRPr="008E3FD6">
        <w:rPr>
          <w:rFonts w:ascii="Times New Roman" w:hAnsi="Times New Roman" w:cs="Times New Roman"/>
          <w:sz w:val="22"/>
        </w:rPr>
        <w:t>2003</w:t>
      </w:r>
      <w:r w:rsidR="00AC152A">
        <w:rPr>
          <w:rFonts w:ascii="Times New Roman" w:hAnsi="Times New Roman" w:cs="Times New Roman"/>
          <w:sz w:val="22"/>
        </w:rPr>
        <w:t xml:space="preserve">. </w:t>
      </w:r>
      <w:r w:rsidRPr="008E3FD6">
        <w:rPr>
          <w:rFonts w:ascii="Times New Roman" w:hAnsi="Times New Roman" w:cs="Times New Roman"/>
          <w:sz w:val="22"/>
        </w:rPr>
        <w:t>FNI Report 14.</w:t>
      </w:r>
      <w:r w:rsidR="008E3FD6" w:rsidRPr="008E3FD6">
        <w:rPr>
          <w:sz w:val="22"/>
        </w:rPr>
        <w:t xml:space="preserve"> </w:t>
      </w:r>
      <w:hyperlink r:id="rId53" w:history="1">
        <w:r w:rsidR="008E3FD6" w:rsidRPr="008E3FD6">
          <w:rPr>
            <w:rStyle w:val="Hiperhivatkozs"/>
            <w:rFonts w:ascii="Times New Roman" w:hAnsi="Times New Roman" w:cs="Times New Roman"/>
            <w:sz w:val="22"/>
          </w:rPr>
          <w:t>http://dspace.cigilibrary.org/jspui/bitstream/123456789/12187/1/Energy%20Taxation%20in%20Europe%20Current%20Status%20Drivers%20and%20Barriers%20Future%20Prospects.pdf?1</w:t>
        </w:r>
      </w:hyperlink>
      <w:r w:rsidRPr="004A7EA1">
        <w:rPr>
          <w:rFonts w:ascii="Times New Roman" w:hAnsi="Times New Roman" w:cs="Times New Roman"/>
        </w:rPr>
        <w:tab/>
      </w:r>
    </w:p>
    <w:p w:rsidR="00776DB2" w:rsidRPr="00F07551" w:rsidRDefault="00776DB2" w:rsidP="00DA46C6">
      <w:pPr>
        <w:autoSpaceDE w:val="0"/>
        <w:autoSpaceDN w:val="0"/>
        <w:adjustRightInd w:val="0"/>
        <w:spacing w:after="0" w:line="360" w:lineRule="auto"/>
        <w:jc w:val="both"/>
        <w:rPr>
          <w:rFonts w:ascii="Times New Roman" w:hAnsi="Times New Roman" w:cs="Times New Roman"/>
        </w:rPr>
      </w:pPr>
      <w:r w:rsidRPr="00F07551">
        <w:rPr>
          <w:rFonts w:ascii="Times New Roman" w:hAnsi="Times New Roman" w:cs="Times New Roman"/>
          <w:b/>
        </w:rPr>
        <w:t xml:space="preserve">HERICH </w:t>
      </w:r>
      <w:r w:rsidR="00AC152A">
        <w:rPr>
          <w:rFonts w:ascii="Times New Roman" w:hAnsi="Times New Roman" w:cs="Times New Roman"/>
        </w:rPr>
        <w:t xml:space="preserve">György: Adótan, Pécs, Penta Unió. </w:t>
      </w:r>
      <w:r w:rsidR="00AC152A" w:rsidRPr="00F07551">
        <w:rPr>
          <w:rFonts w:ascii="Times New Roman" w:hAnsi="Times New Roman" w:cs="Times New Roman"/>
        </w:rPr>
        <w:t>2011</w:t>
      </w:r>
      <w:r w:rsidR="00AC152A">
        <w:rPr>
          <w:rFonts w:ascii="Times New Roman" w:hAnsi="Times New Roman" w:cs="Times New Roman"/>
        </w:rPr>
        <w:t>.</w:t>
      </w:r>
    </w:p>
    <w:p w:rsidR="00776DB2" w:rsidRPr="00F07551" w:rsidRDefault="00776DB2" w:rsidP="00DA46C6">
      <w:pPr>
        <w:autoSpaceDE w:val="0"/>
        <w:autoSpaceDN w:val="0"/>
        <w:adjustRightInd w:val="0"/>
        <w:spacing w:after="0" w:line="360" w:lineRule="auto"/>
        <w:jc w:val="both"/>
        <w:rPr>
          <w:rFonts w:ascii="Times New Roman" w:hAnsi="Times New Roman" w:cs="Times New Roman"/>
        </w:rPr>
      </w:pPr>
      <w:r w:rsidRPr="00F07551">
        <w:rPr>
          <w:rFonts w:ascii="Times New Roman" w:hAnsi="Times New Roman" w:cs="Times New Roman"/>
          <w:b/>
        </w:rPr>
        <w:t xml:space="preserve">HERICH </w:t>
      </w:r>
      <w:r w:rsidRPr="00F07551">
        <w:rPr>
          <w:rFonts w:ascii="Times New Roman" w:hAnsi="Times New Roman" w:cs="Times New Roman"/>
        </w:rPr>
        <w:t>György (szerk.): Nemzetközi adózás – adózás az Európai Unióban, II. átdolgozott kiadás, Pécs, Penta Unió, 2006.</w:t>
      </w:r>
      <w:r w:rsidRPr="00F07551">
        <w:rPr>
          <w:rFonts w:ascii="Times New Roman" w:hAnsi="Times New Roman" w:cs="Times New Roman"/>
        </w:rPr>
        <w:tab/>
      </w:r>
    </w:p>
    <w:p w:rsidR="00776DB2" w:rsidRPr="00F07551" w:rsidRDefault="00776DB2" w:rsidP="00DA46C6">
      <w:pPr>
        <w:autoSpaceDE w:val="0"/>
        <w:autoSpaceDN w:val="0"/>
        <w:adjustRightInd w:val="0"/>
        <w:spacing w:after="0" w:line="360" w:lineRule="auto"/>
        <w:jc w:val="both"/>
        <w:rPr>
          <w:rFonts w:ascii="Times New Roman" w:hAnsi="Times New Roman" w:cs="Times New Roman"/>
        </w:rPr>
      </w:pPr>
      <w:r w:rsidRPr="00F07551">
        <w:rPr>
          <w:rFonts w:ascii="Times New Roman" w:hAnsi="Times New Roman" w:cs="Times New Roman"/>
          <w:b/>
        </w:rPr>
        <w:t>KEREKES</w:t>
      </w:r>
      <w:r w:rsidR="00AC152A">
        <w:rPr>
          <w:rFonts w:ascii="Times New Roman" w:hAnsi="Times New Roman" w:cs="Times New Roman"/>
        </w:rPr>
        <w:t xml:space="preserve"> Sándor</w:t>
      </w:r>
      <w:r w:rsidRPr="00F07551">
        <w:rPr>
          <w:rFonts w:ascii="Times New Roman" w:hAnsi="Times New Roman" w:cs="Times New Roman"/>
        </w:rPr>
        <w:t>: A környezetgazdaságtan alapjai. Budapest.</w:t>
      </w:r>
      <w:r w:rsidR="00AC152A" w:rsidRPr="00AC152A">
        <w:rPr>
          <w:rFonts w:ascii="Times New Roman" w:hAnsi="Times New Roman" w:cs="Times New Roman"/>
        </w:rPr>
        <w:t xml:space="preserve"> </w:t>
      </w:r>
      <w:r w:rsidR="00AC152A" w:rsidRPr="00F07551">
        <w:rPr>
          <w:rFonts w:ascii="Times New Roman" w:hAnsi="Times New Roman" w:cs="Times New Roman"/>
        </w:rPr>
        <w:t>1998</w:t>
      </w:r>
      <w:r w:rsidR="00AC152A">
        <w:rPr>
          <w:rFonts w:ascii="Times New Roman" w:hAnsi="Times New Roman" w:cs="Times New Roman"/>
        </w:rPr>
        <w:t>.</w:t>
      </w:r>
      <w:r w:rsidR="00AC152A">
        <w:rPr>
          <w:rFonts w:ascii="Times New Roman" w:hAnsi="Times New Roman" w:cs="Times New Roman"/>
        </w:rPr>
        <w:tab/>
        <w:t xml:space="preserve"> </w:t>
      </w:r>
      <w:hyperlink r:id="rId54" w:history="1">
        <w:r w:rsidR="008E3FD6" w:rsidRPr="00D36BD1">
          <w:rPr>
            <w:rStyle w:val="Hiperhivatkozs"/>
            <w:rFonts w:ascii="Times New Roman" w:hAnsi="Times New Roman" w:cs="Times New Roman"/>
          </w:rPr>
          <w:t>http://mek.oszk.hu/01400/01452/html/index.htm</w:t>
        </w:r>
      </w:hyperlink>
    </w:p>
    <w:p w:rsidR="00776DB2" w:rsidRPr="00F07551" w:rsidRDefault="00776DB2" w:rsidP="00DA46C6">
      <w:pPr>
        <w:autoSpaceDE w:val="0"/>
        <w:autoSpaceDN w:val="0"/>
        <w:adjustRightInd w:val="0"/>
        <w:spacing w:after="0" w:line="360" w:lineRule="auto"/>
        <w:jc w:val="both"/>
        <w:rPr>
          <w:rFonts w:ascii="Times New Roman" w:hAnsi="Times New Roman" w:cs="Times New Roman"/>
        </w:rPr>
      </w:pPr>
      <w:r w:rsidRPr="00F07551">
        <w:rPr>
          <w:rFonts w:ascii="Times New Roman" w:hAnsi="Times New Roman" w:cs="Times New Roman"/>
          <w:b/>
        </w:rPr>
        <w:t>KEREKES</w:t>
      </w:r>
      <w:r w:rsidR="00AC152A">
        <w:rPr>
          <w:rFonts w:ascii="Times New Roman" w:hAnsi="Times New Roman" w:cs="Times New Roman"/>
        </w:rPr>
        <w:t xml:space="preserve"> Sándor</w:t>
      </w:r>
      <w:r w:rsidRPr="00F07551">
        <w:rPr>
          <w:rFonts w:ascii="Times New Roman" w:hAnsi="Times New Roman" w:cs="Times New Roman"/>
        </w:rPr>
        <w:t>: Környezetgazdálkodás, fenntartható fejlődés. DE AMTC AVK.</w:t>
      </w:r>
      <w:r w:rsidR="00AC152A" w:rsidRPr="00AC152A">
        <w:rPr>
          <w:rFonts w:ascii="Times New Roman" w:hAnsi="Times New Roman" w:cs="Times New Roman"/>
        </w:rPr>
        <w:t xml:space="preserve"> </w:t>
      </w:r>
      <w:r w:rsidR="00AC152A" w:rsidRPr="00F07551">
        <w:rPr>
          <w:rFonts w:ascii="Times New Roman" w:hAnsi="Times New Roman" w:cs="Times New Roman"/>
        </w:rPr>
        <w:t>2007</w:t>
      </w:r>
      <w:r w:rsidR="00AC152A">
        <w:rPr>
          <w:rFonts w:ascii="Times New Roman" w:hAnsi="Times New Roman" w:cs="Times New Roman"/>
        </w:rPr>
        <w:t>.</w:t>
      </w:r>
      <w:r w:rsidR="006B1BD9" w:rsidRPr="006B1BD9">
        <w:t xml:space="preserve"> </w:t>
      </w:r>
      <w:hyperlink r:id="rId55" w:history="1">
        <w:r w:rsidR="006B1BD9" w:rsidRPr="006B1BD9">
          <w:rPr>
            <w:rStyle w:val="Hiperhivatkozs"/>
            <w:rFonts w:ascii="Times New Roman" w:hAnsi="Times New Roman" w:cs="Times New Roman"/>
          </w:rPr>
          <w:t>http://miau.gau.hu/avir/intranet/debrecen_hallgatoi/tananyagok/jegyzet/21-Kornyezetgazdalkodas.pdf</w:t>
        </w:r>
      </w:hyperlink>
    </w:p>
    <w:p w:rsidR="00776DB2" w:rsidRPr="00F07551" w:rsidRDefault="00776DB2" w:rsidP="00DA46C6">
      <w:pPr>
        <w:autoSpaceDE w:val="0"/>
        <w:autoSpaceDN w:val="0"/>
        <w:adjustRightInd w:val="0"/>
        <w:spacing w:after="0" w:line="360" w:lineRule="auto"/>
        <w:jc w:val="both"/>
        <w:rPr>
          <w:rFonts w:ascii="Times New Roman" w:hAnsi="Times New Roman" w:cs="Times New Roman"/>
        </w:rPr>
      </w:pPr>
      <w:r w:rsidRPr="00F07551">
        <w:rPr>
          <w:rFonts w:ascii="Times New Roman" w:hAnsi="Times New Roman" w:cs="Times New Roman"/>
          <w:b/>
        </w:rPr>
        <w:t>KISS</w:t>
      </w:r>
      <w:r w:rsidR="00AC152A">
        <w:rPr>
          <w:rFonts w:ascii="Times New Roman" w:hAnsi="Times New Roman" w:cs="Times New Roman"/>
        </w:rPr>
        <w:t xml:space="preserve"> Károly</w:t>
      </w:r>
      <w:r w:rsidRPr="00F07551">
        <w:rPr>
          <w:rFonts w:ascii="Times New Roman" w:hAnsi="Times New Roman" w:cs="Times New Roman"/>
        </w:rPr>
        <w:t>: Energiaadók az Európai Unióban (környezetgazdasági elemzés). Budapest, 2002. november, 13. szám</w:t>
      </w:r>
      <w:r w:rsidR="008E3FD6">
        <w:rPr>
          <w:rFonts w:ascii="Times New Roman" w:hAnsi="Times New Roman" w:cs="Times New Roman"/>
        </w:rPr>
        <w:t>.</w:t>
      </w:r>
      <w:r w:rsidR="00DA46C6">
        <w:rPr>
          <w:rFonts w:ascii="Times New Roman" w:hAnsi="Times New Roman" w:cs="Times New Roman"/>
        </w:rPr>
        <w:tab/>
      </w:r>
      <w:r w:rsidR="00DA46C6">
        <w:rPr>
          <w:rFonts w:ascii="Times New Roman" w:hAnsi="Times New Roman" w:cs="Times New Roman"/>
        </w:rPr>
        <w:br/>
      </w:r>
      <w:hyperlink r:id="rId56" w:history="1">
        <w:r w:rsidR="008E3FD6" w:rsidRPr="00D36BD1">
          <w:rPr>
            <w:rStyle w:val="Hiperhivatkozs"/>
            <w:rFonts w:ascii="Times New Roman" w:hAnsi="Times New Roman" w:cs="Times New Roman"/>
          </w:rPr>
          <w:t>http://korny.uni-corvinus.hu/kti/13_szam.pdf</w:t>
        </w:r>
      </w:hyperlink>
      <w:r w:rsidRPr="00F07551">
        <w:rPr>
          <w:rFonts w:ascii="Times New Roman" w:hAnsi="Times New Roman" w:cs="Times New Roman"/>
        </w:rPr>
        <w:tab/>
      </w:r>
    </w:p>
    <w:p w:rsidR="00776DB2" w:rsidRPr="00F07551" w:rsidRDefault="00776DB2" w:rsidP="00DA46C6">
      <w:pPr>
        <w:autoSpaceDE w:val="0"/>
        <w:autoSpaceDN w:val="0"/>
        <w:adjustRightInd w:val="0"/>
        <w:spacing w:after="0" w:line="360" w:lineRule="auto"/>
        <w:jc w:val="both"/>
        <w:rPr>
          <w:rFonts w:ascii="Times New Roman" w:hAnsi="Times New Roman" w:cs="Times New Roman"/>
          <w:lang w:val="en-GB"/>
        </w:rPr>
      </w:pPr>
      <w:r w:rsidRPr="00F07551">
        <w:rPr>
          <w:rFonts w:ascii="Times New Roman" w:hAnsi="Times New Roman" w:cs="Times New Roman"/>
          <w:b/>
          <w:lang w:val="en-GB"/>
        </w:rPr>
        <w:t>KISS</w:t>
      </w:r>
      <w:r w:rsidR="00E26104">
        <w:rPr>
          <w:rFonts w:ascii="Times New Roman" w:hAnsi="Times New Roman" w:cs="Times New Roman"/>
          <w:b/>
          <w:lang w:val="en-GB"/>
        </w:rPr>
        <w:t xml:space="preserve"> </w:t>
      </w:r>
      <w:r w:rsidRPr="00F07551">
        <w:rPr>
          <w:rFonts w:ascii="Times New Roman" w:hAnsi="Times New Roman" w:cs="Times New Roman"/>
          <w:lang w:val="en-GB"/>
        </w:rPr>
        <w:t>Károly</w:t>
      </w:r>
      <w:r w:rsidR="00E26104">
        <w:rPr>
          <w:rFonts w:ascii="Times New Roman" w:hAnsi="Times New Roman" w:cs="Times New Roman"/>
          <w:lang w:val="en-GB"/>
        </w:rPr>
        <w:t xml:space="preserve">: Zöldgazdaságpolitika. </w:t>
      </w:r>
      <w:r w:rsidRPr="00F07551">
        <w:rPr>
          <w:rFonts w:ascii="Times New Roman" w:hAnsi="Times New Roman" w:cs="Times New Roman"/>
          <w:lang w:val="en-GB"/>
        </w:rPr>
        <w:t>Budapest</w:t>
      </w:r>
      <w:r w:rsidR="006B1BD9">
        <w:rPr>
          <w:rFonts w:ascii="Times New Roman" w:hAnsi="Times New Roman" w:cs="Times New Roman"/>
          <w:lang w:val="en-GB"/>
        </w:rPr>
        <w:t>.</w:t>
      </w:r>
      <w:r w:rsidR="00DA46C6">
        <w:rPr>
          <w:rFonts w:ascii="Times New Roman" w:hAnsi="Times New Roman" w:cs="Times New Roman"/>
          <w:lang w:val="en-GB"/>
        </w:rPr>
        <w:tab/>
      </w:r>
      <w:r w:rsidR="00AC152A">
        <w:rPr>
          <w:rFonts w:ascii="Times New Roman" w:hAnsi="Times New Roman" w:cs="Times New Roman"/>
          <w:lang w:val="en-GB"/>
        </w:rPr>
        <w:t>2005.</w:t>
      </w:r>
      <w:r w:rsidR="00DA46C6">
        <w:rPr>
          <w:rFonts w:ascii="Times New Roman" w:hAnsi="Times New Roman" w:cs="Times New Roman"/>
          <w:lang w:val="en-GB"/>
        </w:rPr>
        <w:br/>
      </w:r>
      <w:hyperlink r:id="rId57" w:history="1">
        <w:r w:rsidR="006B1BD9" w:rsidRPr="006B1BD9">
          <w:rPr>
            <w:rStyle w:val="Hiperhivatkozs"/>
            <w:rFonts w:ascii="Times New Roman" w:hAnsi="Times New Roman" w:cs="Times New Roman"/>
            <w:lang w:val="en-GB"/>
          </w:rPr>
          <w:t>http://numen.extra.hu/jegyzet/misc/KORNYPOL/zgazdpol.pdf</w:t>
        </w:r>
      </w:hyperlink>
      <w:r w:rsidR="00DA46C6">
        <w:rPr>
          <w:rFonts w:ascii="Times New Roman" w:hAnsi="Times New Roman" w:cs="Times New Roman"/>
          <w:lang w:val="en-GB"/>
        </w:rPr>
        <w:br/>
      </w:r>
      <w:r w:rsidRPr="00F07551">
        <w:rPr>
          <w:rFonts w:ascii="Times New Roman" w:hAnsi="Times New Roman" w:cs="Times New Roman"/>
          <w:b/>
          <w:lang w:val="en-GB"/>
        </w:rPr>
        <w:t>KLOK</w:t>
      </w:r>
      <w:r w:rsidR="00AC152A">
        <w:rPr>
          <w:rFonts w:ascii="Times New Roman" w:hAnsi="Times New Roman" w:cs="Times New Roman"/>
          <w:lang w:val="en-GB"/>
        </w:rPr>
        <w:t>, Jacob</w:t>
      </w:r>
      <w:r w:rsidRPr="00F07551">
        <w:rPr>
          <w:rFonts w:ascii="Times New Roman" w:hAnsi="Times New Roman" w:cs="Times New Roman"/>
          <w:lang w:val="en-GB"/>
        </w:rPr>
        <w:t>: Negotiating EU CO2/energy taxation. Political economic driving forces and barriers. Institute of Local Government</w:t>
      </w:r>
      <w:r w:rsidR="00AC152A">
        <w:rPr>
          <w:rFonts w:ascii="Times New Roman" w:hAnsi="Times New Roman" w:cs="Times New Roman"/>
          <w:lang w:val="en-GB"/>
        </w:rPr>
        <w:t xml:space="preserve"> Studies, AKF Forlaget, Denmark, </w:t>
      </w:r>
      <w:r w:rsidR="00AC152A" w:rsidRPr="00F07551">
        <w:rPr>
          <w:rFonts w:ascii="Times New Roman" w:hAnsi="Times New Roman" w:cs="Times New Roman"/>
          <w:lang w:val="en-GB"/>
        </w:rPr>
        <w:t>2002</w:t>
      </w:r>
      <w:r w:rsidR="00AC152A">
        <w:rPr>
          <w:rFonts w:ascii="Times New Roman" w:hAnsi="Times New Roman" w:cs="Times New Roman"/>
          <w:lang w:val="en-GB"/>
        </w:rPr>
        <w:t>.</w:t>
      </w:r>
      <w:r w:rsidR="00DA46C6">
        <w:rPr>
          <w:rFonts w:ascii="Times New Roman" w:hAnsi="Times New Roman" w:cs="Times New Roman"/>
          <w:lang w:val="en-GB"/>
        </w:rPr>
        <w:br/>
      </w:r>
      <w:hyperlink r:id="rId58" w:history="1">
        <w:r w:rsidR="00BF538B" w:rsidRPr="00CA1492">
          <w:rPr>
            <w:rStyle w:val="Hiperhivatkozs"/>
            <w:rFonts w:ascii="Times New Roman" w:hAnsi="Times New Roman" w:cs="Times New Roman"/>
            <w:lang w:val="en-GB"/>
          </w:rPr>
          <w:t>www.google.hu/url?sa=t&amp;rct=j&amp;q=&amp;esrc=s&amp;source=web&amp;cd=1&amp;ved=0CCQQFjAA&amp;url=http%3A%2F%2Fwww.akf.dk%2Fudgivelser%2F2002%2Fpdf%2Fnegotiatingeuco2.pdf&amp;ei=XwtbUNb_Do-Mswbf14CQCQ&amp;usg=AFQjCNF3u9EM9_Sqj9Sxk3qeKobyZm26AQ</w:t>
        </w:r>
      </w:hyperlink>
    </w:p>
    <w:p w:rsidR="00776DB2" w:rsidRPr="00F07551" w:rsidRDefault="00776DB2" w:rsidP="00DA46C6">
      <w:pPr>
        <w:autoSpaceDE w:val="0"/>
        <w:autoSpaceDN w:val="0"/>
        <w:adjustRightInd w:val="0"/>
        <w:spacing w:after="0" w:line="360" w:lineRule="auto"/>
        <w:jc w:val="both"/>
        <w:rPr>
          <w:rFonts w:ascii="Times New Roman" w:hAnsi="Times New Roman" w:cs="Times New Roman"/>
          <w:lang w:val="en-GB"/>
        </w:rPr>
      </w:pPr>
      <w:r w:rsidRPr="00F07551">
        <w:rPr>
          <w:rFonts w:ascii="Times New Roman" w:hAnsi="Times New Roman" w:cs="Times New Roman"/>
          <w:b/>
          <w:lang w:val="en-GB"/>
        </w:rPr>
        <w:lastRenderedPageBreak/>
        <w:t>KLOK</w:t>
      </w:r>
      <w:r w:rsidR="00AC152A">
        <w:rPr>
          <w:rFonts w:ascii="Times New Roman" w:hAnsi="Times New Roman" w:cs="Times New Roman"/>
          <w:lang w:val="en-GB"/>
        </w:rPr>
        <w:t>, Jacob</w:t>
      </w:r>
      <w:r w:rsidRPr="00F07551">
        <w:rPr>
          <w:rFonts w:ascii="Times New Roman" w:hAnsi="Times New Roman" w:cs="Times New Roman"/>
          <w:lang w:val="en-GB"/>
        </w:rPr>
        <w:t>: Energy Taxation in the European Union. Past Negotiations and</w:t>
      </w:r>
      <w:r w:rsidR="00AC152A">
        <w:rPr>
          <w:rFonts w:ascii="Times New Roman" w:hAnsi="Times New Roman" w:cs="Times New Roman"/>
          <w:lang w:val="en-GB"/>
        </w:rPr>
        <w:t xml:space="preserve"> Future Perspective 10 – 11. p. </w:t>
      </w:r>
      <w:r w:rsidR="00AC152A" w:rsidRPr="00F07551">
        <w:rPr>
          <w:rFonts w:ascii="Times New Roman" w:hAnsi="Times New Roman" w:cs="Times New Roman"/>
          <w:lang w:val="en-GB"/>
        </w:rPr>
        <w:t>2005</w:t>
      </w:r>
      <w:r w:rsidR="00AC152A">
        <w:rPr>
          <w:rFonts w:ascii="Times New Roman" w:hAnsi="Times New Roman" w:cs="Times New Roman"/>
          <w:lang w:val="en-GB"/>
        </w:rPr>
        <w:t xml:space="preserve">. </w:t>
      </w:r>
      <w:r w:rsidRPr="00F07551">
        <w:rPr>
          <w:rFonts w:ascii="Times New Roman" w:hAnsi="Times New Roman" w:cs="Times New Roman"/>
          <w:lang w:val="en-GB"/>
        </w:rPr>
        <w:t>In: Institutio de Estudios Fiscales, Working document 21.</w:t>
      </w:r>
      <w:r w:rsidR="00873D0E">
        <w:rPr>
          <w:rFonts w:ascii="Times New Roman" w:hAnsi="Times New Roman" w:cs="Times New Roman"/>
          <w:lang w:val="en-GB"/>
        </w:rPr>
        <w:tab/>
        <w:t xml:space="preserve"> </w:t>
      </w:r>
      <w:hyperlink r:id="rId59" w:history="1">
        <w:r w:rsidR="00BF538B" w:rsidRPr="00CA1492">
          <w:rPr>
            <w:rStyle w:val="Hiperhivatkozs"/>
            <w:rFonts w:ascii="Times New Roman" w:hAnsi="Times New Roman" w:cs="Times New Roman"/>
            <w:lang w:val="en-GB"/>
          </w:rPr>
          <w:t>www.ief.es/documentos/recursos/publicaciones/documentos_trabajo/2005_21.pdf</w:t>
        </w:r>
      </w:hyperlink>
      <w:r w:rsidRPr="00F07551">
        <w:rPr>
          <w:rFonts w:ascii="Times New Roman" w:hAnsi="Times New Roman" w:cs="Times New Roman"/>
          <w:lang w:val="en-GB"/>
        </w:rPr>
        <w:tab/>
      </w:r>
    </w:p>
    <w:p w:rsidR="00776DB2" w:rsidRPr="00F07551" w:rsidRDefault="00776DB2" w:rsidP="00DA46C6">
      <w:pPr>
        <w:autoSpaceDE w:val="0"/>
        <w:autoSpaceDN w:val="0"/>
        <w:adjustRightInd w:val="0"/>
        <w:spacing w:after="0" w:line="360" w:lineRule="auto"/>
        <w:jc w:val="both"/>
        <w:rPr>
          <w:rFonts w:ascii="Times New Roman" w:hAnsi="Times New Roman" w:cs="Times New Roman"/>
          <w:lang w:val="en-GB"/>
        </w:rPr>
      </w:pPr>
      <w:r w:rsidRPr="00F07551">
        <w:rPr>
          <w:rFonts w:ascii="Times New Roman" w:hAnsi="Times New Roman" w:cs="Times New Roman"/>
          <w:b/>
          <w:lang w:val="en-GB"/>
        </w:rPr>
        <w:t xml:space="preserve">KOSONEN </w:t>
      </w:r>
      <w:r w:rsidR="00AC152A">
        <w:rPr>
          <w:rFonts w:ascii="Times New Roman" w:hAnsi="Times New Roman" w:cs="Times New Roman"/>
          <w:lang w:val="en-GB"/>
        </w:rPr>
        <w:t>Katri et al</w:t>
      </w:r>
      <w:r w:rsidRPr="00F07551">
        <w:rPr>
          <w:rFonts w:ascii="Times New Roman" w:hAnsi="Times New Roman" w:cs="Times New Roman"/>
          <w:lang w:val="en-GB"/>
        </w:rPr>
        <w:t>.: T</w:t>
      </w:r>
      <w:r w:rsidR="00AC152A">
        <w:rPr>
          <w:rFonts w:ascii="Times New Roman" w:hAnsi="Times New Roman" w:cs="Times New Roman"/>
          <w:lang w:val="en-GB"/>
        </w:rPr>
        <w:t xml:space="preserve">axation Papers: the role of </w:t>
      </w:r>
      <w:r w:rsidRPr="00F07551">
        <w:rPr>
          <w:rFonts w:ascii="Times New Roman" w:hAnsi="Times New Roman" w:cs="Times New Roman"/>
          <w:lang w:val="en-GB"/>
        </w:rPr>
        <w:t xml:space="preserve">fiscal instruments in environmental </w:t>
      </w:r>
      <w:r w:rsidR="00F07551" w:rsidRPr="00F07551">
        <w:rPr>
          <w:rFonts w:ascii="Times New Roman" w:hAnsi="Times New Roman" w:cs="Times New Roman"/>
          <w:lang w:val="en-GB"/>
        </w:rPr>
        <w:t>policy. Working</w:t>
      </w:r>
      <w:r w:rsidRPr="00F07551">
        <w:rPr>
          <w:rFonts w:ascii="Times New Roman" w:hAnsi="Times New Roman" w:cs="Times New Roman"/>
          <w:lang w:val="en-GB"/>
        </w:rPr>
        <w:t xml:space="preserve"> Paper, </w:t>
      </w:r>
      <w:r w:rsidR="00AC152A" w:rsidRPr="00F07551">
        <w:rPr>
          <w:rFonts w:ascii="Times New Roman" w:hAnsi="Times New Roman" w:cs="Times New Roman"/>
          <w:lang w:val="en-GB"/>
        </w:rPr>
        <w:t>2009</w:t>
      </w:r>
      <w:r w:rsidR="00AC152A">
        <w:rPr>
          <w:rFonts w:ascii="Times New Roman" w:hAnsi="Times New Roman" w:cs="Times New Roman"/>
          <w:lang w:val="en-GB"/>
        </w:rPr>
        <w:t xml:space="preserve">. </w:t>
      </w:r>
      <w:r w:rsidRPr="00F07551">
        <w:rPr>
          <w:rFonts w:ascii="Times New Roman" w:hAnsi="Times New Roman" w:cs="Times New Roman"/>
          <w:lang w:val="en-GB"/>
        </w:rPr>
        <w:t>No.19.</w:t>
      </w:r>
      <w:r w:rsidR="006B1BD9">
        <w:rPr>
          <w:rFonts w:ascii="Times New Roman" w:hAnsi="Times New Roman" w:cs="Times New Roman"/>
          <w:lang w:val="en-GB"/>
        </w:rPr>
        <w:tab/>
      </w:r>
      <w:r w:rsidR="006B1BD9" w:rsidRPr="006B1BD9">
        <w:t xml:space="preserve"> </w:t>
      </w:r>
      <w:hyperlink r:id="rId60" w:history="1">
        <w:r w:rsidR="006B1BD9" w:rsidRPr="006B1BD9">
          <w:rPr>
            <w:rStyle w:val="Hiperhivatkozs"/>
            <w:rFonts w:ascii="Times New Roman" w:hAnsi="Times New Roman" w:cs="Times New Roman"/>
            <w:lang w:val="en-GB"/>
          </w:rPr>
          <w:t>http://ec.europa.eu/taxation_customs/resources/documents/taxation/gen_info/economic_analysis/tax_papers/taxation_paper_19.pdf</w:t>
        </w:r>
      </w:hyperlink>
      <w:r w:rsidRPr="00F07551">
        <w:rPr>
          <w:rFonts w:ascii="Times New Roman" w:hAnsi="Times New Roman" w:cs="Times New Roman"/>
          <w:lang w:val="en-GB"/>
        </w:rPr>
        <w:tab/>
      </w:r>
    </w:p>
    <w:p w:rsidR="00776DB2" w:rsidRPr="00F07551" w:rsidRDefault="00776DB2" w:rsidP="00DA46C6">
      <w:pPr>
        <w:autoSpaceDE w:val="0"/>
        <w:autoSpaceDN w:val="0"/>
        <w:adjustRightInd w:val="0"/>
        <w:spacing w:after="0" w:line="360" w:lineRule="auto"/>
        <w:jc w:val="both"/>
        <w:rPr>
          <w:rFonts w:ascii="Times New Roman" w:hAnsi="Times New Roman" w:cs="Times New Roman"/>
          <w:lang w:val="en-GB"/>
        </w:rPr>
      </w:pPr>
      <w:r w:rsidRPr="00F07551">
        <w:rPr>
          <w:rFonts w:ascii="Times New Roman" w:hAnsi="Times New Roman" w:cs="Times New Roman"/>
          <w:b/>
          <w:lang w:val="en-GB"/>
        </w:rPr>
        <w:t xml:space="preserve">KUBASEK </w:t>
      </w:r>
      <w:r w:rsidRPr="00F07551">
        <w:rPr>
          <w:rFonts w:ascii="Times New Roman" w:hAnsi="Times New Roman" w:cs="Times New Roman"/>
          <w:lang w:val="en-GB"/>
        </w:rPr>
        <w:t xml:space="preserve">Nancy K. &amp; </w:t>
      </w:r>
      <w:r w:rsidRPr="00F07551">
        <w:rPr>
          <w:rFonts w:ascii="Times New Roman" w:hAnsi="Times New Roman" w:cs="Times New Roman"/>
          <w:b/>
          <w:lang w:val="en-GB"/>
        </w:rPr>
        <w:t xml:space="preserve">SILVERMAN </w:t>
      </w:r>
      <w:r w:rsidRPr="00F07551">
        <w:rPr>
          <w:rFonts w:ascii="Times New Roman" w:hAnsi="Times New Roman" w:cs="Times New Roman"/>
          <w:lang w:val="en-GB"/>
        </w:rPr>
        <w:t>Ga</w:t>
      </w:r>
      <w:r w:rsidR="00AC152A">
        <w:rPr>
          <w:rFonts w:ascii="Times New Roman" w:hAnsi="Times New Roman" w:cs="Times New Roman"/>
          <w:lang w:val="en-GB"/>
        </w:rPr>
        <w:t>ry S.</w:t>
      </w:r>
      <w:r w:rsidRPr="00F07551">
        <w:rPr>
          <w:rFonts w:ascii="Times New Roman" w:hAnsi="Times New Roman" w:cs="Times New Roman"/>
          <w:lang w:val="en-GB"/>
        </w:rPr>
        <w:t>: En</w:t>
      </w:r>
      <w:r w:rsidR="00AC152A">
        <w:rPr>
          <w:rFonts w:ascii="Times New Roman" w:hAnsi="Times New Roman" w:cs="Times New Roman"/>
          <w:lang w:val="en-GB"/>
        </w:rPr>
        <w:t>vironmental law, sixth edition, 2008.</w:t>
      </w:r>
    </w:p>
    <w:p w:rsidR="00776DB2" w:rsidRPr="00F07551" w:rsidRDefault="00776DB2" w:rsidP="00DA46C6">
      <w:pPr>
        <w:widowControl w:val="0"/>
        <w:autoSpaceDE w:val="0"/>
        <w:autoSpaceDN w:val="0"/>
        <w:adjustRightInd w:val="0"/>
        <w:spacing w:after="0" w:line="360" w:lineRule="auto"/>
        <w:ind w:right="81"/>
        <w:jc w:val="both"/>
        <w:rPr>
          <w:rFonts w:ascii="Times New Roman" w:hAnsi="Times New Roman" w:cs="Times New Roman"/>
          <w:color w:val="000000"/>
          <w:w w:val="103"/>
          <w:lang w:val="en-GB"/>
        </w:rPr>
      </w:pPr>
      <w:r w:rsidRPr="00F07551">
        <w:rPr>
          <w:rFonts w:ascii="Times New Roman" w:hAnsi="Times New Roman" w:cs="Times New Roman"/>
          <w:b/>
          <w:color w:val="000000"/>
          <w:spacing w:val="50"/>
          <w:lang w:val="en-GB"/>
        </w:rPr>
        <w:t xml:space="preserve">MEYER </w:t>
      </w:r>
      <w:r w:rsidRPr="00F07551">
        <w:rPr>
          <w:rFonts w:ascii="Times New Roman" w:hAnsi="Times New Roman" w:cs="Times New Roman"/>
          <w:color w:val="000000"/>
          <w:lang w:val="en-GB"/>
        </w:rPr>
        <w:t>B</w:t>
      </w:r>
      <w:r w:rsidRPr="00F07551">
        <w:rPr>
          <w:rFonts w:ascii="Times New Roman" w:hAnsi="Times New Roman" w:cs="Times New Roman"/>
          <w:color w:val="000000"/>
          <w:spacing w:val="-5"/>
          <w:lang w:val="en-GB"/>
        </w:rPr>
        <w:t>e</w:t>
      </w:r>
      <w:r w:rsidRPr="00F07551">
        <w:rPr>
          <w:rFonts w:ascii="Times New Roman" w:hAnsi="Times New Roman" w:cs="Times New Roman"/>
          <w:color w:val="000000"/>
          <w:spacing w:val="7"/>
          <w:lang w:val="en-GB"/>
        </w:rPr>
        <w:t>r</w:t>
      </w:r>
      <w:r w:rsidRPr="00F07551">
        <w:rPr>
          <w:rFonts w:ascii="Times New Roman" w:hAnsi="Times New Roman" w:cs="Times New Roman"/>
          <w:color w:val="000000"/>
          <w:spacing w:val="-4"/>
          <w:lang w:val="en-GB"/>
        </w:rPr>
        <w:t>n</w:t>
      </w:r>
      <w:r w:rsidRPr="00F07551">
        <w:rPr>
          <w:rFonts w:ascii="Times New Roman" w:hAnsi="Times New Roman" w:cs="Times New Roman"/>
          <w:color w:val="000000"/>
          <w:lang w:val="en-GB"/>
        </w:rPr>
        <w:t xml:space="preserve">d: </w:t>
      </w:r>
      <w:r w:rsidRPr="00F07551">
        <w:rPr>
          <w:rFonts w:ascii="Times New Roman" w:hAnsi="Times New Roman" w:cs="Times New Roman"/>
          <w:color w:val="000000"/>
          <w:spacing w:val="50"/>
          <w:lang w:val="en-GB"/>
        </w:rPr>
        <w:t xml:space="preserve"> </w:t>
      </w:r>
      <w:r w:rsidRPr="00F07551">
        <w:rPr>
          <w:rFonts w:ascii="Times New Roman" w:hAnsi="Times New Roman" w:cs="Times New Roman"/>
          <w:color w:val="000000"/>
          <w:spacing w:val="6"/>
          <w:lang w:val="en-GB"/>
        </w:rPr>
        <w:t>T</w:t>
      </w:r>
      <w:r w:rsidRPr="00F07551">
        <w:rPr>
          <w:rFonts w:ascii="Times New Roman" w:hAnsi="Times New Roman" w:cs="Times New Roman"/>
          <w:color w:val="000000"/>
          <w:spacing w:val="-4"/>
          <w:lang w:val="en-GB"/>
        </w:rPr>
        <w:t>h</w:t>
      </w:r>
      <w:r w:rsidRPr="00F07551">
        <w:rPr>
          <w:rFonts w:ascii="Times New Roman" w:hAnsi="Times New Roman" w:cs="Times New Roman"/>
          <w:color w:val="000000"/>
          <w:lang w:val="en-GB"/>
        </w:rPr>
        <w:t xml:space="preserve">e </w:t>
      </w:r>
      <w:r w:rsidRPr="00F07551">
        <w:rPr>
          <w:rFonts w:ascii="Times New Roman" w:hAnsi="Times New Roman" w:cs="Times New Roman"/>
          <w:color w:val="000000"/>
          <w:spacing w:val="6"/>
          <w:lang w:val="en-GB"/>
        </w:rPr>
        <w:t>E</w:t>
      </w:r>
      <w:r w:rsidRPr="00F07551">
        <w:rPr>
          <w:rFonts w:ascii="Times New Roman" w:hAnsi="Times New Roman" w:cs="Times New Roman"/>
          <w:color w:val="000000"/>
          <w:lang w:val="en-GB"/>
        </w:rPr>
        <w:t>ff</w:t>
      </w:r>
      <w:r w:rsidRPr="00F07551">
        <w:rPr>
          <w:rFonts w:ascii="Times New Roman" w:hAnsi="Times New Roman" w:cs="Times New Roman"/>
          <w:color w:val="000000"/>
          <w:spacing w:val="2"/>
          <w:lang w:val="en-GB"/>
        </w:rPr>
        <w:t>e</w:t>
      </w:r>
      <w:r w:rsidRPr="00F07551">
        <w:rPr>
          <w:rFonts w:ascii="Times New Roman" w:hAnsi="Times New Roman" w:cs="Times New Roman"/>
          <w:color w:val="000000"/>
          <w:spacing w:val="-5"/>
          <w:lang w:val="en-GB"/>
        </w:rPr>
        <w:t>c</w:t>
      </w:r>
      <w:r w:rsidRPr="00F07551">
        <w:rPr>
          <w:rFonts w:ascii="Times New Roman" w:hAnsi="Times New Roman" w:cs="Times New Roman"/>
          <w:color w:val="000000"/>
          <w:spacing w:val="6"/>
          <w:lang w:val="en-GB"/>
        </w:rPr>
        <w:t>t</w:t>
      </w:r>
      <w:r w:rsidRPr="00F07551">
        <w:rPr>
          <w:rFonts w:ascii="Times New Roman" w:hAnsi="Times New Roman" w:cs="Times New Roman"/>
          <w:color w:val="000000"/>
          <w:lang w:val="en-GB"/>
        </w:rPr>
        <w:t xml:space="preserve">s </w:t>
      </w:r>
      <w:r w:rsidRPr="00F07551">
        <w:rPr>
          <w:rFonts w:ascii="Times New Roman" w:hAnsi="Times New Roman" w:cs="Times New Roman"/>
          <w:color w:val="000000"/>
          <w:spacing w:val="3"/>
          <w:lang w:val="en-GB"/>
        </w:rPr>
        <w:t>o</w:t>
      </w:r>
      <w:r w:rsidRPr="00F07551">
        <w:rPr>
          <w:rFonts w:ascii="Times New Roman" w:hAnsi="Times New Roman" w:cs="Times New Roman"/>
          <w:color w:val="000000"/>
          <w:lang w:val="en-GB"/>
        </w:rPr>
        <w:t xml:space="preserve">f </w:t>
      </w:r>
      <w:r w:rsidRPr="00F07551">
        <w:rPr>
          <w:rFonts w:ascii="Times New Roman" w:hAnsi="Times New Roman" w:cs="Times New Roman"/>
          <w:color w:val="000000"/>
          <w:spacing w:val="6"/>
          <w:lang w:val="en-GB"/>
        </w:rPr>
        <w:t>E</w:t>
      </w:r>
      <w:r w:rsidRPr="00F07551">
        <w:rPr>
          <w:rFonts w:ascii="Times New Roman" w:hAnsi="Times New Roman" w:cs="Times New Roman"/>
          <w:color w:val="000000"/>
          <w:spacing w:val="-4"/>
          <w:lang w:val="en-GB"/>
        </w:rPr>
        <w:t>n</w:t>
      </w:r>
      <w:r w:rsidRPr="00F07551">
        <w:rPr>
          <w:rFonts w:ascii="Times New Roman" w:hAnsi="Times New Roman" w:cs="Times New Roman"/>
          <w:color w:val="000000"/>
          <w:spacing w:val="3"/>
          <w:lang w:val="en-GB"/>
        </w:rPr>
        <w:t>v</w:t>
      </w:r>
      <w:r w:rsidRPr="00F07551">
        <w:rPr>
          <w:rFonts w:ascii="Times New Roman" w:hAnsi="Times New Roman" w:cs="Times New Roman"/>
          <w:color w:val="000000"/>
          <w:spacing w:val="-1"/>
          <w:lang w:val="en-GB"/>
        </w:rPr>
        <w:t>i</w:t>
      </w:r>
      <w:r w:rsidRPr="00F07551">
        <w:rPr>
          <w:rFonts w:ascii="Times New Roman" w:hAnsi="Times New Roman" w:cs="Times New Roman"/>
          <w:color w:val="000000"/>
          <w:lang w:val="en-GB"/>
        </w:rPr>
        <w:t>r</w:t>
      </w:r>
      <w:r w:rsidRPr="00F07551">
        <w:rPr>
          <w:rFonts w:ascii="Times New Roman" w:hAnsi="Times New Roman" w:cs="Times New Roman"/>
          <w:color w:val="000000"/>
          <w:spacing w:val="3"/>
          <w:lang w:val="en-GB"/>
        </w:rPr>
        <w:t>on</w:t>
      </w:r>
      <w:r w:rsidRPr="00F07551">
        <w:rPr>
          <w:rFonts w:ascii="Times New Roman" w:hAnsi="Times New Roman" w:cs="Times New Roman"/>
          <w:color w:val="000000"/>
          <w:spacing w:val="2"/>
          <w:lang w:val="en-GB"/>
        </w:rPr>
        <w:t>m</w:t>
      </w:r>
      <w:r w:rsidRPr="00F07551">
        <w:rPr>
          <w:rFonts w:ascii="Times New Roman" w:hAnsi="Times New Roman" w:cs="Times New Roman"/>
          <w:color w:val="000000"/>
          <w:spacing w:val="-5"/>
          <w:lang w:val="en-GB"/>
        </w:rPr>
        <w:t>e</w:t>
      </w:r>
      <w:r w:rsidRPr="00F07551">
        <w:rPr>
          <w:rFonts w:ascii="Times New Roman" w:hAnsi="Times New Roman" w:cs="Times New Roman"/>
          <w:color w:val="000000"/>
          <w:spacing w:val="3"/>
          <w:lang w:val="en-GB"/>
        </w:rPr>
        <w:t>n</w:t>
      </w:r>
      <w:r w:rsidRPr="00F07551">
        <w:rPr>
          <w:rFonts w:ascii="Times New Roman" w:hAnsi="Times New Roman" w:cs="Times New Roman"/>
          <w:color w:val="000000"/>
          <w:spacing w:val="-1"/>
          <w:lang w:val="en-GB"/>
        </w:rPr>
        <w:t>t</w:t>
      </w:r>
      <w:r w:rsidRPr="00F07551">
        <w:rPr>
          <w:rFonts w:ascii="Times New Roman" w:hAnsi="Times New Roman" w:cs="Times New Roman"/>
          <w:color w:val="000000"/>
          <w:spacing w:val="2"/>
          <w:lang w:val="en-GB"/>
        </w:rPr>
        <w:t>a</w:t>
      </w:r>
      <w:r w:rsidRPr="00F07551">
        <w:rPr>
          <w:rFonts w:ascii="Times New Roman" w:hAnsi="Times New Roman" w:cs="Times New Roman"/>
          <w:color w:val="000000"/>
          <w:lang w:val="en-GB"/>
        </w:rPr>
        <w:t xml:space="preserve">l  </w:t>
      </w:r>
      <w:r w:rsidRPr="00F07551">
        <w:rPr>
          <w:rFonts w:ascii="Times New Roman" w:hAnsi="Times New Roman" w:cs="Times New Roman"/>
          <w:color w:val="000000"/>
          <w:spacing w:val="11"/>
          <w:lang w:val="en-GB"/>
        </w:rPr>
        <w:t xml:space="preserve"> </w:t>
      </w:r>
      <w:r w:rsidRPr="00F07551">
        <w:rPr>
          <w:rFonts w:ascii="Times New Roman" w:hAnsi="Times New Roman" w:cs="Times New Roman"/>
          <w:color w:val="000000"/>
          <w:spacing w:val="-3"/>
          <w:lang w:val="en-GB"/>
        </w:rPr>
        <w:t>F</w:t>
      </w:r>
      <w:r w:rsidRPr="00F07551">
        <w:rPr>
          <w:rFonts w:ascii="Times New Roman" w:hAnsi="Times New Roman" w:cs="Times New Roman"/>
          <w:color w:val="000000"/>
          <w:spacing w:val="6"/>
          <w:lang w:val="en-GB"/>
        </w:rPr>
        <w:t>i</w:t>
      </w:r>
      <w:r w:rsidRPr="00F07551">
        <w:rPr>
          <w:rFonts w:ascii="Times New Roman" w:hAnsi="Times New Roman" w:cs="Times New Roman"/>
          <w:color w:val="000000"/>
          <w:spacing w:val="1"/>
          <w:lang w:val="en-GB"/>
        </w:rPr>
        <w:t>s</w:t>
      </w:r>
      <w:r w:rsidRPr="00F07551">
        <w:rPr>
          <w:rFonts w:ascii="Times New Roman" w:hAnsi="Times New Roman" w:cs="Times New Roman"/>
          <w:color w:val="000000"/>
          <w:spacing w:val="-5"/>
          <w:lang w:val="en-GB"/>
        </w:rPr>
        <w:t>c</w:t>
      </w:r>
      <w:r w:rsidRPr="00F07551">
        <w:rPr>
          <w:rFonts w:ascii="Times New Roman" w:hAnsi="Times New Roman" w:cs="Times New Roman"/>
          <w:color w:val="000000"/>
          <w:spacing w:val="2"/>
          <w:lang w:val="en-GB"/>
        </w:rPr>
        <w:t>a</w:t>
      </w:r>
      <w:r w:rsidRPr="00F07551">
        <w:rPr>
          <w:rFonts w:ascii="Times New Roman" w:hAnsi="Times New Roman" w:cs="Times New Roman"/>
          <w:color w:val="000000"/>
          <w:lang w:val="en-GB"/>
        </w:rPr>
        <w:t xml:space="preserve">l </w:t>
      </w:r>
      <w:r w:rsidRPr="00F07551">
        <w:rPr>
          <w:rFonts w:ascii="Times New Roman" w:hAnsi="Times New Roman" w:cs="Times New Roman"/>
          <w:color w:val="000000"/>
          <w:spacing w:val="7"/>
          <w:lang w:val="en-GB"/>
        </w:rPr>
        <w:t>R</w:t>
      </w:r>
      <w:r w:rsidRPr="00F07551">
        <w:rPr>
          <w:rFonts w:ascii="Times New Roman" w:hAnsi="Times New Roman" w:cs="Times New Roman"/>
          <w:color w:val="000000"/>
          <w:spacing w:val="2"/>
          <w:lang w:val="en-GB"/>
        </w:rPr>
        <w:t>e</w:t>
      </w:r>
      <w:r w:rsidRPr="00F07551">
        <w:rPr>
          <w:rFonts w:ascii="Times New Roman" w:hAnsi="Times New Roman" w:cs="Times New Roman"/>
          <w:color w:val="000000"/>
          <w:lang w:val="en-GB"/>
        </w:rPr>
        <w:t>f</w:t>
      </w:r>
      <w:r w:rsidRPr="00F07551">
        <w:rPr>
          <w:rFonts w:ascii="Times New Roman" w:hAnsi="Times New Roman" w:cs="Times New Roman"/>
          <w:color w:val="000000"/>
          <w:spacing w:val="-4"/>
          <w:lang w:val="en-GB"/>
        </w:rPr>
        <w:t>o</w:t>
      </w:r>
      <w:r w:rsidRPr="00F07551">
        <w:rPr>
          <w:rFonts w:ascii="Times New Roman" w:hAnsi="Times New Roman" w:cs="Times New Roman"/>
          <w:color w:val="000000"/>
          <w:spacing w:val="7"/>
          <w:lang w:val="en-GB"/>
        </w:rPr>
        <w:t>r</w:t>
      </w:r>
      <w:r w:rsidRPr="00F07551">
        <w:rPr>
          <w:rFonts w:ascii="Times New Roman" w:hAnsi="Times New Roman" w:cs="Times New Roman"/>
          <w:color w:val="000000"/>
          <w:lang w:val="en-GB"/>
        </w:rPr>
        <w:t xml:space="preserve">m </w:t>
      </w:r>
      <w:r w:rsidRPr="00F07551">
        <w:rPr>
          <w:rFonts w:ascii="Times New Roman" w:hAnsi="Times New Roman" w:cs="Times New Roman"/>
          <w:color w:val="000000"/>
          <w:spacing w:val="-1"/>
          <w:lang w:val="en-GB"/>
        </w:rPr>
        <w:t>i</w:t>
      </w:r>
      <w:r w:rsidRPr="00F07551">
        <w:rPr>
          <w:rFonts w:ascii="Times New Roman" w:hAnsi="Times New Roman" w:cs="Times New Roman"/>
          <w:color w:val="000000"/>
          <w:lang w:val="en-GB"/>
        </w:rPr>
        <w:t xml:space="preserve">n </w:t>
      </w:r>
      <w:r w:rsidRPr="00F07551">
        <w:rPr>
          <w:rFonts w:ascii="Times New Roman" w:hAnsi="Times New Roman" w:cs="Times New Roman"/>
          <w:color w:val="000000"/>
          <w:spacing w:val="8"/>
          <w:lang w:val="en-GB"/>
        </w:rPr>
        <w:t>G</w:t>
      </w:r>
      <w:r w:rsidRPr="00F07551">
        <w:rPr>
          <w:rFonts w:ascii="Times New Roman" w:hAnsi="Times New Roman" w:cs="Times New Roman"/>
          <w:color w:val="000000"/>
          <w:spacing w:val="-5"/>
          <w:lang w:val="en-GB"/>
        </w:rPr>
        <w:t>e</w:t>
      </w:r>
      <w:r w:rsidRPr="00F07551">
        <w:rPr>
          <w:rFonts w:ascii="Times New Roman" w:hAnsi="Times New Roman" w:cs="Times New Roman"/>
          <w:color w:val="000000"/>
          <w:spacing w:val="7"/>
          <w:lang w:val="en-GB"/>
        </w:rPr>
        <w:t>r</w:t>
      </w:r>
      <w:r w:rsidRPr="00F07551">
        <w:rPr>
          <w:rFonts w:ascii="Times New Roman" w:hAnsi="Times New Roman" w:cs="Times New Roman"/>
          <w:color w:val="000000"/>
          <w:spacing w:val="-5"/>
          <w:lang w:val="en-GB"/>
        </w:rPr>
        <w:t>m</w:t>
      </w:r>
      <w:r w:rsidRPr="00F07551">
        <w:rPr>
          <w:rFonts w:ascii="Times New Roman" w:hAnsi="Times New Roman" w:cs="Times New Roman"/>
          <w:color w:val="000000"/>
          <w:spacing w:val="2"/>
          <w:lang w:val="en-GB"/>
        </w:rPr>
        <w:t>a</w:t>
      </w:r>
      <w:r w:rsidRPr="00F07551">
        <w:rPr>
          <w:rFonts w:ascii="Times New Roman" w:hAnsi="Times New Roman" w:cs="Times New Roman"/>
          <w:color w:val="000000"/>
          <w:spacing w:val="3"/>
          <w:lang w:val="en-GB"/>
        </w:rPr>
        <w:t>n</w:t>
      </w:r>
      <w:r w:rsidRPr="00F07551">
        <w:rPr>
          <w:rFonts w:ascii="Times New Roman" w:hAnsi="Times New Roman" w:cs="Times New Roman"/>
          <w:color w:val="000000"/>
          <w:spacing w:val="-4"/>
          <w:lang w:val="en-GB"/>
        </w:rPr>
        <w:t>y</w:t>
      </w:r>
      <w:r w:rsidRPr="00F07551">
        <w:rPr>
          <w:rFonts w:ascii="Times New Roman" w:hAnsi="Times New Roman" w:cs="Times New Roman"/>
          <w:color w:val="000000"/>
          <w:lang w:val="en-GB"/>
        </w:rPr>
        <w:t xml:space="preserve">: </w:t>
      </w:r>
      <w:r w:rsidRPr="00F07551">
        <w:rPr>
          <w:rFonts w:ascii="Times New Roman" w:hAnsi="Times New Roman" w:cs="Times New Roman"/>
          <w:color w:val="000000"/>
          <w:w w:val="103"/>
          <w:lang w:val="en-GB"/>
        </w:rPr>
        <w:t xml:space="preserve">A </w:t>
      </w:r>
      <w:r w:rsidRPr="00F07551">
        <w:rPr>
          <w:rFonts w:ascii="Times New Roman" w:hAnsi="Times New Roman" w:cs="Times New Roman"/>
          <w:color w:val="000000"/>
          <w:spacing w:val="-3"/>
          <w:lang w:val="en-GB"/>
        </w:rPr>
        <w:t>S</w:t>
      </w:r>
      <w:r w:rsidRPr="00F07551">
        <w:rPr>
          <w:rFonts w:ascii="Times New Roman" w:hAnsi="Times New Roman" w:cs="Times New Roman"/>
          <w:color w:val="000000"/>
          <w:spacing w:val="6"/>
          <w:lang w:val="en-GB"/>
        </w:rPr>
        <w:t>i</w:t>
      </w:r>
      <w:r w:rsidRPr="00F07551">
        <w:rPr>
          <w:rFonts w:ascii="Times New Roman" w:hAnsi="Times New Roman" w:cs="Times New Roman"/>
          <w:color w:val="000000"/>
          <w:spacing w:val="-5"/>
          <w:lang w:val="en-GB"/>
        </w:rPr>
        <w:t>m</w:t>
      </w:r>
      <w:r w:rsidRPr="00F07551">
        <w:rPr>
          <w:rFonts w:ascii="Times New Roman" w:hAnsi="Times New Roman" w:cs="Times New Roman"/>
          <w:color w:val="000000"/>
          <w:spacing w:val="3"/>
          <w:lang w:val="en-GB"/>
        </w:rPr>
        <w:t>u</w:t>
      </w:r>
      <w:r w:rsidRPr="00F07551">
        <w:rPr>
          <w:rFonts w:ascii="Times New Roman" w:hAnsi="Times New Roman" w:cs="Times New Roman"/>
          <w:color w:val="000000"/>
          <w:spacing w:val="-1"/>
          <w:lang w:val="en-GB"/>
        </w:rPr>
        <w:t>l</w:t>
      </w:r>
      <w:r w:rsidRPr="00F07551">
        <w:rPr>
          <w:rFonts w:ascii="Times New Roman" w:hAnsi="Times New Roman" w:cs="Times New Roman"/>
          <w:color w:val="000000"/>
          <w:spacing w:val="2"/>
          <w:lang w:val="en-GB"/>
        </w:rPr>
        <w:t>a</w:t>
      </w:r>
      <w:r w:rsidRPr="00F07551">
        <w:rPr>
          <w:rFonts w:ascii="Times New Roman" w:hAnsi="Times New Roman" w:cs="Times New Roman"/>
          <w:color w:val="000000"/>
          <w:spacing w:val="-1"/>
          <w:lang w:val="en-GB"/>
        </w:rPr>
        <w:t>t</w:t>
      </w:r>
      <w:r w:rsidRPr="00F07551">
        <w:rPr>
          <w:rFonts w:ascii="Times New Roman" w:hAnsi="Times New Roman" w:cs="Times New Roman"/>
          <w:color w:val="000000"/>
          <w:spacing w:val="6"/>
          <w:lang w:val="en-GB"/>
        </w:rPr>
        <w:t>i</w:t>
      </w:r>
      <w:r w:rsidRPr="00F07551">
        <w:rPr>
          <w:rFonts w:ascii="Times New Roman" w:hAnsi="Times New Roman" w:cs="Times New Roman"/>
          <w:color w:val="000000"/>
          <w:spacing w:val="-4"/>
          <w:lang w:val="en-GB"/>
        </w:rPr>
        <w:t>o</w:t>
      </w:r>
      <w:r w:rsidRPr="00F07551">
        <w:rPr>
          <w:rFonts w:ascii="Times New Roman" w:hAnsi="Times New Roman" w:cs="Times New Roman"/>
          <w:color w:val="000000"/>
          <w:lang w:val="en-GB"/>
        </w:rPr>
        <w:t>n</w:t>
      </w:r>
      <w:r w:rsidRPr="00F07551">
        <w:rPr>
          <w:rFonts w:ascii="Times New Roman" w:hAnsi="Times New Roman" w:cs="Times New Roman"/>
          <w:color w:val="000000"/>
          <w:spacing w:val="33"/>
          <w:lang w:val="en-GB"/>
        </w:rPr>
        <w:t xml:space="preserve"> </w:t>
      </w:r>
      <w:r w:rsidRPr="00F07551">
        <w:rPr>
          <w:rFonts w:ascii="Times New Roman" w:hAnsi="Times New Roman" w:cs="Times New Roman"/>
          <w:color w:val="000000"/>
          <w:spacing w:val="-3"/>
          <w:lang w:val="en-GB"/>
        </w:rPr>
        <w:t>S</w:t>
      </w:r>
      <w:r w:rsidRPr="00F07551">
        <w:rPr>
          <w:rFonts w:ascii="Times New Roman" w:hAnsi="Times New Roman" w:cs="Times New Roman"/>
          <w:color w:val="000000"/>
          <w:spacing w:val="-1"/>
          <w:lang w:val="en-GB"/>
        </w:rPr>
        <w:t>t</w:t>
      </w:r>
      <w:r w:rsidRPr="00F07551">
        <w:rPr>
          <w:rFonts w:ascii="Times New Roman" w:hAnsi="Times New Roman" w:cs="Times New Roman"/>
          <w:color w:val="000000"/>
          <w:spacing w:val="10"/>
          <w:lang w:val="en-GB"/>
        </w:rPr>
        <w:t>u</w:t>
      </w:r>
      <w:r w:rsidRPr="00F07551">
        <w:rPr>
          <w:rFonts w:ascii="Times New Roman" w:hAnsi="Times New Roman" w:cs="Times New Roman"/>
          <w:color w:val="000000"/>
          <w:spacing w:val="-4"/>
          <w:lang w:val="en-GB"/>
        </w:rPr>
        <w:t>d</w:t>
      </w:r>
      <w:r w:rsidRPr="00F07551">
        <w:rPr>
          <w:rFonts w:ascii="Times New Roman" w:hAnsi="Times New Roman" w:cs="Times New Roman"/>
          <w:color w:val="000000"/>
          <w:spacing w:val="6"/>
          <w:lang w:val="en-GB"/>
        </w:rPr>
        <w:t>y</w:t>
      </w:r>
      <w:r w:rsidRPr="00F07551">
        <w:rPr>
          <w:rFonts w:ascii="Times New Roman" w:hAnsi="Times New Roman" w:cs="Times New Roman"/>
          <w:color w:val="000000"/>
          <w:lang w:val="en-GB"/>
        </w:rPr>
        <w:t>.</w:t>
      </w:r>
      <w:r w:rsidRPr="00F07551">
        <w:rPr>
          <w:rFonts w:ascii="Times New Roman" w:hAnsi="Times New Roman" w:cs="Times New Roman"/>
          <w:color w:val="000000"/>
          <w:spacing w:val="16"/>
          <w:lang w:val="en-GB"/>
        </w:rPr>
        <w:t xml:space="preserve"> </w:t>
      </w:r>
      <w:r w:rsidRPr="00F07551">
        <w:rPr>
          <w:rFonts w:ascii="Times New Roman" w:hAnsi="Times New Roman" w:cs="Times New Roman"/>
          <w:color w:val="000000"/>
          <w:w w:val="103"/>
          <w:lang w:val="en-GB"/>
        </w:rPr>
        <w:t>Br</w:t>
      </w:r>
      <w:r w:rsidRPr="00F07551">
        <w:rPr>
          <w:rFonts w:ascii="Times New Roman" w:hAnsi="Times New Roman" w:cs="Times New Roman"/>
          <w:color w:val="000000"/>
          <w:spacing w:val="10"/>
          <w:w w:val="103"/>
          <w:lang w:val="en-GB"/>
        </w:rPr>
        <w:t>u</w:t>
      </w:r>
      <w:r w:rsidRPr="00F07551">
        <w:rPr>
          <w:rFonts w:ascii="Times New Roman" w:hAnsi="Times New Roman" w:cs="Times New Roman"/>
          <w:color w:val="000000"/>
          <w:spacing w:val="1"/>
          <w:w w:val="103"/>
          <w:lang w:val="en-GB"/>
        </w:rPr>
        <w:t>ss</w:t>
      </w:r>
      <w:r w:rsidRPr="00F07551">
        <w:rPr>
          <w:rFonts w:ascii="Times New Roman" w:hAnsi="Times New Roman" w:cs="Times New Roman"/>
          <w:color w:val="000000"/>
          <w:spacing w:val="-5"/>
          <w:w w:val="103"/>
          <w:lang w:val="en-GB"/>
        </w:rPr>
        <w:t>e</w:t>
      </w:r>
      <w:r w:rsidRPr="00F07551">
        <w:rPr>
          <w:rFonts w:ascii="Times New Roman" w:hAnsi="Times New Roman" w:cs="Times New Roman"/>
          <w:color w:val="000000"/>
          <w:spacing w:val="6"/>
          <w:w w:val="103"/>
          <w:lang w:val="en-GB"/>
        </w:rPr>
        <w:t>l</w:t>
      </w:r>
      <w:r w:rsidRPr="00F07551">
        <w:rPr>
          <w:rFonts w:ascii="Times New Roman" w:hAnsi="Times New Roman" w:cs="Times New Roman"/>
          <w:color w:val="000000"/>
          <w:w w:val="103"/>
          <w:lang w:val="en-GB"/>
        </w:rPr>
        <w:t>s</w:t>
      </w:r>
      <w:r w:rsidR="006B1BD9">
        <w:rPr>
          <w:rFonts w:ascii="Times New Roman" w:hAnsi="Times New Roman" w:cs="Times New Roman"/>
          <w:color w:val="000000"/>
          <w:w w:val="103"/>
          <w:lang w:val="en-GB"/>
        </w:rPr>
        <w:t>.</w:t>
      </w:r>
      <w:r w:rsidR="00AC152A" w:rsidRPr="00AC152A">
        <w:rPr>
          <w:rFonts w:ascii="Times New Roman" w:hAnsi="Times New Roman" w:cs="Times New Roman"/>
          <w:color w:val="000000"/>
          <w:spacing w:val="4"/>
          <w:lang w:val="en-GB"/>
        </w:rPr>
        <w:t xml:space="preserve"> </w:t>
      </w:r>
      <w:r w:rsidR="00AC152A" w:rsidRPr="00F07551">
        <w:rPr>
          <w:rFonts w:ascii="Times New Roman" w:hAnsi="Times New Roman" w:cs="Times New Roman"/>
          <w:color w:val="000000"/>
          <w:spacing w:val="4"/>
          <w:lang w:val="en-GB"/>
        </w:rPr>
        <w:t>2002</w:t>
      </w:r>
      <w:r w:rsidR="00E26104">
        <w:rPr>
          <w:rFonts w:ascii="Times New Roman" w:hAnsi="Times New Roman" w:cs="Times New Roman"/>
          <w:color w:val="000000"/>
          <w:w w:val="103"/>
          <w:lang w:val="en-GB"/>
        </w:rPr>
        <w:tab/>
        <w:t xml:space="preserve"> </w:t>
      </w:r>
      <w:hyperlink r:id="rId61" w:history="1">
        <w:r w:rsidR="006B1BD9" w:rsidRPr="006B1BD9">
          <w:rPr>
            <w:rStyle w:val="Hiperhivatkozs"/>
            <w:rFonts w:ascii="Times New Roman" w:hAnsi="Times New Roman" w:cs="Times New Roman"/>
            <w:w w:val="103"/>
            <w:lang w:val="en-GB"/>
          </w:rPr>
          <w:t>http://cozpserver1n2.jinonice.cuni.cz/ekoreforma/EDR/Mayer%20DIW%20study.pdf</w:t>
        </w:r>
      </w:hyperlink>
    </w:p>
    <w:p w:rsidR="00776DB2" w:rsidRPr="00F27328" w:rsidRDefault="00776DB2" w:rsidP="00DA46C6">
      <w:pPr>
        <w:autoSpaceDE w:val="0"/>
        <w:autoSpaceDN w:val="0"/>
        <w:adjustRightInd w:val="0"/>
        <w:spacing w:after="0" w:line="360" w:lineRule="auto"/>
        <w:jc w:val="both"/>
        <w:rPr>
          <w:rFonts w:ascii="Times New Roman" w:hAnsi="Times New Roman" w:cs="Times New Roman"/>
        </w:rPr>
      </w:pPr>
      <w:r w:rsidRPr="00F27328">
        <w:rPr>
          <w:rFonts w:ascii="Times New Roman" w:hAnsi="Times New Roman" w:cs="Times New Roman"/>
          <w:b/>
        </w:rPr>
        <w:t xml:space="preserve">NAGY </w:t>
      </w:r>
      <w:r w:rsidRPr="00F27328">
        <w:rPr>
          <w:rFonts w:ascii="Times New Roman" w:hAnsi="Times New Roman" w:cs="Times New Roman"/>
        </w:rPr>
        <w:t>Zoltán-</w:t>
      </w:r>
      <w:r w:rsidRPr="00F27328">
        <w:rPr>
          <w:rFonts w:ascii="Times New Roman" w:hAnsi="Times New Roman" w:cs="Times New Roman"/>
          <w:b/>
        </w:rPr>
        <w:t xml:space="preserve">OLAJOS </w:t>
      </w:r>
      <w:r w:rsidRPr="00F27328">
        <w:rPr>
          <w:rFonts w:ascii="Times New Roman" w:hAnsi="Times New Roman" w:cs="Times New Roman"/>
        </w:rPr>
        <w:t>István-</w:t>
      </w:r>
      <w:r w:rsidRPr="00F27328">
        <w:rPr>
          <w:rFonts w:ascii="Times New Roman" w:hAnsi="Times New Roman" w:cs="Times New Roman"/>
          <w:b/>
        </w:rPr>
        <w:t xml:space="preserve">RAISZ </w:t>
      </w:r>
      <w:r w:rsidRPr="00F27328">
        <w:rPr>
          <w:rFonts w:ascii="Times New Roman" w:hAnsi="Times New Roman" w:cs="Times New Roman"/>
        </w:rPr>
        <w:t>Anikó-</w:t>
      </w:r>
      <w:r w:rsidRPr="00F27328">
        <w:rPr>
          <w:rFonts w:ascii="Times New Roman" w:hAnsi="Times New Roman" w:cs="Times New Roman"/>
          <w:b/>
        </w:rPr>
        <w:t xml:space="preserve">SZILÁGYI </w:t>
      </w:r>
      <w:r w:rsidR="00AC152A">
        <w:rPr>
          <w:rFonts w:ascii="Times New Roman" w:hAnsi="Times New Roman" w:cs="Times New Roman"/>
        </w:rPr>
        <w:t>János Ede</w:t>
      </w:r>
      <w:r w:rsidRPr="00F27328">
        <w:rPr>
          <w:rFonts w:ascii="Times New Roman" w:hAnsi="Times New Roman" w:cs="Times New Roman"/>
        </w:rPr>
        <w:t xml:space="preserve">: Környezetjog II. kötet – Tanulmányok a környezetjogi gondolkodás köréből, Miskolc, </w:t>
      </w:r>
      <w:r w:rsidR="00AC152A">
        <w:rPr>
          <w:rFonts w:ascii="Times New Roman" w:hAnsi="Times New Roman" w:cs="Times New Roman"/>
        </w:rPr>
        <w:t xml:space="preserve">2010, </w:t>
      </w:r>
      <w:r w:rsidRPr="00F27328">
        <w:rPr>
          <w:rFonts w:ascii="Times New Roman" w:hAnsi="Times New Roman" w:cs="Times New Roman"/>
        </w:rPr>
        <w:t>Novotni Alapítvány.</w:t>
      </w:r>
      <w:r w:rsidRPr="00F27328">
        <w:rPr>
          <w:rFonts w:ascii="Times New Roman" w:hAnsi="Times New Roman" w:cs="Times New Roman"/>
        </w:rPr>
        <w:tab/>
      </w:r>
    </w:p>
    <w:p w:rsidR="00776DB2" w:rsidRDefault="00776DB2" w:rsidP="00DA46C6">
      <w:pPr>
        <w:autoSpaceDE w:val="0"/>
        <w:autoSpaceDN w:val="0"/>
        <w:adjustRightInd w:val="0"/>
        <w:spacing w:after="0" w:line="360" w:lineRule="auto"/>
        <w:jc w:val="both"/>
        <w:rPr>
          <w:rFonts w:ascii="Times New Roman" w:hAnsi="Times New Roman" w:cs="Times New Roman"/>
        </w:rPr>
      </w:pPr>
      <w:r w:rsidRPr="004A7EA1">
        <w:rPr>
          <w:rFonts w:ascii="Times New Roman" w:hAnsi="Times New Roman" w:cs="Times New Roman"/>
          <w:b/>
        </w:rPr>
        <w:t>OECD</w:t>
      </w:r>
      <w:r w:rsidRPr="004A7EA1">
        <w:rPr>
          <w:rFonts w:ascii="Times New Roman" w:hAnsi="Times New Roman" w:cs="Times New Roman"/>
        </w:rPr>
        <w:t>: Környezetvédelmi adónemek az OECD országokban: kérdések és stratégiák.</w:t>
      </w:r>
      <w:r w:rsidR="008E3FD6">
        <w:rPr>
          <w:rFonts w:ascii="Times New Roman" w:hAnsi="Times New Roman" w:cs="Times New Roman"/>
        </w:rPr>
        <w:t xml:space="preserve"> Párizs.</w:t>
      </w:r>
      <w:r w:rsidR="00AC152A" w:rsidRPr="00AC152A">
        <w:rPr>
          <w:rFonts w:ascii="Times New Roman" w:hAnsi="Times New Roman" w:cs="Times New Roman"/>
        </w:rPr>
        <w:t xml:space="preserve"> </w:t>
      </w:r>
      <w:r w:rsidR="00AC152A">
        <w:rPr>
          <w:rFonts w:ascii="Times New Roman" w:hAnsi="Times New Roman" w:cs="Times New Roman"/>
        </w:rPr>
        <w:t>2001</w:t>
      </w:r>
      <w:r w:rsidR="00DA46C6">
        <w:rPr>
          <w:rFonts w:ascii="Times New Roman" w:hAnsi="Times New Roman" w:cs="Times New Roman"/>
        </w:rPr>
        <w:br/>
      </w:r>
      <w:hyperlink r:id="rId62" w:history="1">
        <w:r w:rsidR="00BF538B" w:rsidRPr="00CA1492">
          <w:rPr>
            <w:rStyle w:val="Hiperhivatkozs"/>
            <w:rFonts w:ascii="Times New Roman" w:hAnsi="Times New Roman" w:cs="Times New Roman"/>
          </w:rPr>
          <w:t>www.oecd.org/pcd/2674642.pdf</w:t>
        </w:r>
      </w:hyperlink>
    </w:p>
    <w:p w:rsidR="00776DB2" w:rsidRDefault="00776DB2" w:rsidP="00DA46C6">
      <w:pPr>
        <w:autoSpaceDE w:val="0"/>
        <w:autoSpaceDN w:val="0"/>
        <w:adjustRightInd w:val="0"/>
        <w:spacing w:after="0" w:line="360" w:lineRule="auto"/>
        <w:jc w:val="both"/>
        <w:rPr>
          <w:rFonts w:ascii="Times New Roman" w:hAnsi="Times New Roman" w:cs="Times New Roman"/>
        </w:rPr>
      </w:pPr>
      <w:r w:rsidRPr="004A7EA1">
        <w:rPr>
          <w:rFonts w:ascii="Times New Roman" w:hAnsi="Times New Roman" w:cs="Times New Roman"/>
          <w:b/>
        </w:rPr>
        <w:t>OECD</w:t>
      </w:r>
      <w:r w:rsidRPr="004A7EA1">
        <w:rPr>
          <w:rFonts w:ascii="Times New Roman" w:hAnsi="Times New Roman" w:cs="Times New Roman"/>
        </w:rPr>
        <w:t xml:space="preserve"> Environment Programme, Working Paper: The United Kingdom Climate Change Lev</w:t>
      </w:r>
      <w:r w:rsidR="006F30B0">
        <w:rPr>
          <w:rFonts w:ascii="Times New Roman" w:hAnsi="Times New Roman" w:cs="Times New Roman"/>
        </w:rPr>
        <w:t xml:space="preserve">y: A study in Political Economy </w:t>
      </w:r>
      <w:r w:rsidRPr="004A7EA1">
        <w:rPr>
          <w:rFonts w:ascii="Times New Roman" w:hAnsi="Times New Roman" w:cs="Times New Roman"/>
        </w:rPr>
        <w:t>2</w:t>
      </w:r>
      <w:r w:rsidR="006F30B0">
        <w:rPr>
          <w:rFonts w:ascii="Times New Roman" w:hAnsi="Times New Roman" w:cs="Times New Roman"/>
        </w:rPr>
        <w:t>.</w:t>
      </w:r>
      <w:r w:rsidR="006F30B0">
        <w:rPr>
          <w:rFonts w:ascii="Times New Roman" w:hAnsi="Times New Roman" w:cs="Times New Roman"/>
        </w:rPr>
        <w:tab/>
        <w:t xml:space="preserve"> </w:t>
      </w:r>
      <w:hyperlink r:id="rId63" w:history="1">
        <w:r w:rsidR="006F30B0" w:rsidRPr="00CA1492">
          <w:rPr>
            <w:rStyle w:val="Hiperhivatkozs"/>
            <w:rFonts w:ascii="Times New Roman" w:hAnsi="Times New Roman" w:cs="Times New Roman"/>
          </w:rPr>
          <w:t>http://search.oecd.org/officialdocuments/displaydocumentpdf/?doclanguage=en&amp;cote=com/env/epoc/ctpa/cfa%282004%2966/final</w:t>
        </w:r>
      </w:hyperlink>
    </w:p>
    <w:p w:rsidR="00A43227" w:rsidRPr="004F323E" w:rsidRDefault="00A43227" w:rsidP="00DA46C6">
      <w:pPr>
        <w:autoSpaceDE w:val="0"/>
        <w:autoSpaceDN w:val="0"/>
        <w:adjustRightInd w:val="0"/>
        <w:spacing w:after="0" w:line="360" w:lineRule="auto"/>
        <w:jc w:val="both"/>
        <w:rPr>
          <w:rFonts w:ascii="Times New Roman" w:hAnsi="Times New Roman" w:cs="Times New Roman"/>
        </w:rPr>
      </w:pPr>
      <w:r w:rsidRPr="004F323E">
        <w:rPr>
          <w:rFonts w:ascii="Times New Roman" w:hAnsi="Times New Roman" w:cs="Times New Roman"/>
          <w:b/>
        </w:rPr>
        <w:t>Pénzügyi jog II.</w:t>
      </w:r>
      <w:r w:rsidRPr="004F323E">
        <w:rPr>
          <w:rFonts w:ascii="Times New Roman" w:hAnsi="Times New Roman" w:cs="Times New Roman"/>
        </w:rPr>
        <w:t xml:space="preserve"> (szerk. Simon István) Osiris Kiadó, Budapest 2012.</w:t>
      </w:r>
    </w:p>
    <w:p w:rsidR="00776DB2" w:rsidRPr="004A7EA1" w:rsidRDefault="00776DB2" w:rsidP="00DA46C6">
      <w:pPr>
        <w:autoSpaceDE w:val="0"/>
        <w:autoSpaceDN w:val="0"/>
        <w:adjustRightInd w:val="0"/>
        <w:spacing w:after="0" w:line="360" w:lineRule="auto"/>
        <w:jc w:val="both"/>
        <w:rPr>
          <w:rFonts w:ascii="Times New Roman" w:hAnsi="Times New Roman" w:cs="Times New Roman"/>
        </w:rPr>
      </w:pPr>
      <w:r w:rsidRPr="004A7EA1">
        <w:rPr>
          <w:rFonts w:ascii="Times New Roman" w:hAnsi="Times New Roman" w:cs="Times New Roman"/>
        </w:rPr>
        <w:t xml:space="preserve">Policy Network, </w:t>
      </w:r>
      <w:r w:rsidRPr="004A7EA1">
        <w:rPr>
          <w:rFonts w:ascii="Times New Roman" w:hAnsi="Times New Roman" w:cs="Times New Roman"/>
          <w:b/>
        </w:rPr>
        <w:t>Briefing Paper</w:t>
      </w:r>
      <w:r w:rsidRPr="004A7EA1">
        <w:rPr>
          <w:rFonts w:ascii="Times New Roman" w:hAnsi="Times New Roman" w:cs="Times New Roman"/>
        </w:rPr>
        <w:t>: The politics</w:t>
      </w:r>
      <w:r w:rsidR="00AC152A">
        <w:rPr>
          <w:rFonts w:ascii="Times New Roman" w:hAnsi="Times New Roman" w:cs="Times New Roman"/>
        </w:rPr>
        <w:t xml:space="preserve"> of climate change in the UK 4. </w:t>
      </w:r>
      <w:r w:rsidRPr="004A7EA1">
        <w:rPr>
          <w:rFonts w:ascii="Times New Roman" w:hAnsi="Times New Roman" w:cs="Times New Roman"/>
        </w:rPr>
        <w:t>2008</w:t>
      </w:r>
      <w:r w:rsidR="00AC152A">
        <w:rPr>
          <w:rFonts w:ascii="Times New Roman" w:hAnsi="Times New Roman" w:cs="Times New Roman"/>
        </w:rPr>
        <w:t xml:space="preserve">. </w:t>
      </w:r>
      <w:hyperlink r:id="rId64" w:history="1">
        <w:r w:rsidR="00DA46C6" w:rsidRPr="00CA1492">
          <w:rPr>
            <w:rStyle w:val="Hiperhivatkozs"/>
            <w:rFonts w:ascii="Times New Roman" w:hAnsi="Times New Roman" w:cs="Times New Roman"/>
          </w:rPr>
          <w:t>www.policy−</w:t>
        </w:r>
        <w:r w:rsidR="00DA46C6" w:rsidRPr="00CA1492">
          <w:rPr>
            <w:rStyle w:val="Hiperhivatkozs"/>
            <w:rFonts w:ascii="Times New Roman" w:hAnsi="Times New Roman" w:cs="Times New Roman"/>
            <w:lang w:val="en-GB"/>
          </w:rPr>
          <w:t>network.net/uploadedFiles/Events/Events/The_politics_of_climate_change_in_the_UK_briefing.pdf</w:t>
        </w:r>
      </w:hyperlink>
    </w:p>
    <w:p w:rsidR="00DA46C6" w:rsidRDefault="00776DB2" w:rsidP="00DA46C6">
      <w:pPr>
        <w:autoSpaceDE w:val="0"/>
        <w:autoSpaceDN w:val="0"/>
        <w:adjustRightInd w:val="0"/>
        <w:spacing w:after="0" w:line="360" w:lineRule="auto"/>
        <w:jc w:val="both"/>
        <w:rPr>
          <w:rFonts w:ascii="Times New Roman" w:hAnsi="Times New Roman" w:cs="Times New Roman"/>
        </w:rPr>
      </w:pPr>
      <w:r w:rsidRPr="004A7EA1">
        <w:rPr>
          <w:rFonts w:ascii="Times New Roman" w:hAnsi="Times New Roman" w:cs="Times New Roman"/>
          <w:b/>
        </w:rPr>
        <w:t>Review</w:t>
      </w:r>
      <w:r w:rsidRPr="004A7EA1">
        <w:rPr>
          <w:rFonts w:ascii="Times New Roman" w:hAnsi="Times New Roman" w:cs="Times New Roman"/>
        </w:rPr>
        <w:t xml:space="preserve"> of Environmental Taxes in the U</w:t>
      </w:r>
      <w:r w:rsidR="006F30B0">
        <w:rPr>
          <w:rFonts w:ascii="Times New Roman" w:hAnsi="Times New Roman" w:cs="Times New Roman"/>
        </w:rPr>
        <w:t>K Environmental Accounts, 2006. EUROSTAT/B1.</w:t>
      </w:r>
    </w:p>
    <w:p w:rsidR="00590C1A" w:rsidRDefault="00377C43" w:rsidP="00DA46C6">
      <w:pPr>
        <w:autoSpaceDE w:val="0"/>
        <w:autoSpaceDN w:val="0"/>
        <w:adjustRightInd w:val="0"/>
        <w:spacing w:after="0" w:line="360" w:lineRule="auto"/>
        <w:jc w:val="both"/>
        <w:rPr>
          <w:rFonts w:ascii="Times New Roman" w:hAnsi="Times New Roman" w:cs="Times New Roman"/>
        </w:rPr>
      </w:pPr>
      <w:hyperlink r:id="rId65" w:history="1">
        <w:r w:rsidR="006F30B0" w:rsidRPr="00D36BD1">
          <w:rPr>
            <w:rStyle w:val="Hiperhivatkozs"/>
            <w:rFonts w:ascii="Times New Roman" w:hAnsi="Times New Roman" w:cs="Times New Roman"/>
          </w:rPr>
          <w:t>http://circa.europa.eu/Public/irc/dsis/pip/library?l=/environmental_expenditur/country_studies/other_studies/environmental_environmen/_EN_1.0_&amp;a=d</w:t>
        </w:r>
      </w:hyperlink>
      <w:r w:rsidR="00590C1A">
        <w:rPr>
          <w:rFonts w:ascii="Times New Roman" w:hAnsi="Times New Roman" w:cs="Times New Roman"/>
        </w:rPr>
        <w:tab/>
      </w:r>
    </w:p>
    <w:p w:rsidR="00DA46C6" w:rsidRDefault="00590C1A" w:rsidP="00DA46C6">
      <w:pPr>
        <w:autoSpaceDE w:val="0"/>
        <w:autoSpaceDN w:val="0"/>
        <w:adjustRightInd w:val="0"/>
        <w:spacing w:after="0" w:line="360" w:lineRule="auto"/>
        <w:jc w:val="both"/>
        <w:rPr>
          <w:rFonts w:ascii="Times New Roman" w:hAnsi="Times New Roman" w:cs="Times New Roman"/>
          <w:lang w:val="en-GB"/>
        </w:rPr>
      </w:pPr>
      <w:r w:rsidRPr="00590C1A">
        <w:rPr>
          <w:rFonts w:ascii="Times New Roman" w:hAnsi="Times New Roman" w:cs="Times New Roman"/>
          <w:b/>
          <w:lang w:val="en-GB"/>
        </w:rPr>
        <w:t>SEPA</w:t>
      </w:r>
      <w:r>
        <w:rPr>
          <w:rFonts w:ascii="Times New Roman" w:hAnsi="Times New Roman" w:cs="Times New Roman"/>
          <w:lang w:val="en-GB"/>
        </w:rPr>
        <w:t>:</w:t>
      </w:r>
      <w:r w:rsidRPr="002A3B84">
        <w:rPr>
          <w:rFonts w:ascii="Times New Roman" w:hAnsi="Times New Roman" w:cs="Times New Roman"/>
          <w:lang w:val="en-GB"/>
        </w:rPr>
        <w:t>Environmental Taxes in Sweden – Economic Instr</w:t>
      </w:r>
      <w:r>
        <w:rPr>
          <w:rFonts w:ascii="Times New Roman" w:hAnsi="Times New Roman" w:cs="Times New Roman"/>
          <w:lang w:val="en-GB"/>
        </w:rPr>
        <w:t>uments of Environmental Policy.</w:t>
      </w:r>
      <w:r w:rsidR="00812916" w:rsidRPr="00812916">
        <w:rPr>
          <w:rFonts w:ascii="Times New Roman" w:hAnsi="Times New Roman" w:cs="Times New Roman"/>
          <w:lang w:val="en-GB"/>
        </w:rPr>
        <w:t xml:space="preserve"> </w:t>
      </w:r>
      <w:r w:rsidR="00812916">
        <w:rPr>
          <w:rFonts w:ascii="Times New Roman" w:hAnsi="Times New Roman" w:cs="Times New Roman"/>
          <w:lang w:val="en-GB"/>
        </w:rPr>
        <w:t>1997</w:t>
      </w:r>
      <w:r>
        <w:rPr>
          <w:rFonts w:ascii="Times New Roman" w:hAnsi="Times New Roman" w:cs="Times New Roman"/>
          <w:lang w:val="en-GB"/>
        </w:rPr>
        <w:t xml:space="preserve"> Report.4745.</w:t>
      </w:r>
    </w:p>
    <w:p w:rsidR="00776DB2" w:rsidRPr="004A7EA1" w:rsidRDefault="00377C43" w:rsidP="00DA46C6">
      <w:pPr>
        <w:autoSpaceDE w:val="0"/>
        <w:autoSpaceDN w:val="0"/>
        <w:adjustRightInd w:val="0"/>
        <w:spacing w:after="0" w:line="360" w:lineRule="auto"/>
        <w:jc w:val="both"/>
        <w:rPr>
          <w:rFonts w:ascii="Times New Roman" w:hAnsi="Times New Roman" w:cs="Times New Roman"/>
        </w:rPr>
      </w:pPr>
      <w:hyperlink r:id="rId66" w:history="1">
        <w:r w:rsidR="00590C1A" w:rsidRPr="002A3B84">
          <w:rPr>
            <w:rStyle w:val="Hiperhivatkozs"/>
            <w:rFonts w:ascii="Times New Roman" w:hAnsi="Times New Roman" w:cs="Times New Roman"/>
            <w:lang w:val="en-GB"/>
          </w:rPr>
          <w:t>www-sekon.slu.se/~bkr/gbg.pdf</w:t>
        </w:r>
      </w:hyperlink>
      <w:r w:rsidR="004A06B5">
        <w:rPr>
          <w:rFonts w:ascii="Times New Roman" w:hAnsi="Times New Roman" w:cs="Times New Roman"/>
        </w:rPr>
        <w:br/>
      </w:r>
      <w:r w:rsidR="003B7ED3" w:rsidRPr="00776DB2">
        <w:rPr>
          <w:rFonts w:ascii="Times New Roman" w:hAnsi="Times New Roman" w:cs="Times New Roman"/>
          <w:b/>
        </w:rPr>
        <w:t>SIMON</w:t>
      </w:r>
      <w:r w:rsidR="003B7ED3" w:rsidRPr="001A5824">
        <w:rPr>
          <w:rFonts w:ascii="Times New Roman" w:hAnsi="Times New Roman" w:cs="Times New Roman"/>
        </w:rPr>
        <w:t xml:space="preserve"> István (szerk.)</w:t>
      </w:r>
      <w:r w:rsidR="00AC152A">
        <w:rPr>
          <w:rFonts w:ascii="Times New Roman" w:hAnsi="Times New Roman" w:cs="Times New Roman"/>
        </w:rPr>
        <w:t>: Pénzügyi Jog II. Budapest, 20</w:t>
      </w:r>
      <w:r w:rsidR="00873D0E">
        <w:rPr>
          <w:rFonts w:ascii="Times New Roman" w:hAnsi="Times New Roman" w:cs="Times New Roman"/>
        </w:rPr>
        <w:t>07</w:t>
      </w:r>
      <w:r w:rsidR="003B7ED3" w:rsidRPr="001A5824">
        <w:rPr>
          <w:rFonts w:ascii="Times New Roman" w:hAnsi="Times New Roman" w:cs="Times New Roman"/>
        </w:rPr>
        <w:t>, Osiris Kiadó</w:t>
      </w:r>
      <w:r w:rsidR="00776DB2" w:rsidRPr="004A7EA1">
        <w:rPr>
          <w:rFonts w:ascii="Times New Roman" w:hAnsi="Times New Roman" w:cs="Times New Roman"/>
        </w:rPr>
        <w:tab/>
      </w:r>
    </w:p>
    <w:p w:rsidR="00776DB2" w:rsidRPr="00BF538B" w:rsidRDefault="00776DB2" w:rsidP="00DA46C6">
      <w:pPr>
        <w:autoSpaceDE w:val="0"/>
        <w:autoSpaceDN w:val="0"/>
        <w:adjustRightInd w:val="0"/>
        <w:spacing w:after="0" w:line="360" w:lineRule="auto"/>
        <w:jc w:val="both"/>
        <w:rPr>
          <w:rFonts w:ascii="Times New Roman" w:hAnsi="Times New Roman" w:cs="Times New Roman"/>
        </w:rPr>
      </w:pPr>
      <w:r w:rsidRPr="004A7EA1">
        <w:rPr>
          <w:rFonts w:ascii="Times New Roman" w:hAnsi="Times New Roman" w:cs="Times New Roman"/>
          <w:b/>
        </w:rPr>
        <w:t>SÖDERHOLM</w:t>
      </w:r>
      <w:r>
        <w:rPr>
          <w:rFonts w:ascii="Times New Roman" w:hAnsi="Times New Roman" w:cs="Times New Roman"/>
          <w:b/>
        </w:rPr>
        <w:t xml:space="preserve"> </w:t>
      </w:r>
      <w:r>
        <w:rPr>
          <w:rFonts w:ascii="Times New Roman" w:hAnsi="Times New Roman" w:cs="Times New Roman"/>
        </w:rPr>
        <w:t>Patrik</w:t>
      </w:r>
      <w:r w:rsidRPr="004A7EA1">
        <w:rPr>
          <w:rFonts w:ascii="Times New Roman" w:hAnsi="Times New Roman" w:cs="Times New Roman"/>
        </w:rPr>
        <w:t xml:space="preserve">: </w:t>
      </w:r>
      <w:r w:rsidRPr="00BF538B">
        <w:rPr>
          <w:rFonts w:ascii="Times New Roman" w:hAnsi="Times New Roman" w:cs="Times New Roman"/>
        </w:rPr>
        <w:t>Extending the environmental tax base: prerequisites for increased taxation of natural resource and chemical compounds</w:t>
      </w:r>
      <w:r w:rsidR="00BF538B" w:rsidRPr="00BF538B">
        <w:rPr>
          <w:rFonts w:ascii="Times New Roman" w:hAnsi="Times New Roman" w:cs="Times New Roman"/>
        </w:rPr>
        <w:t>, Swedish Environmental Protection Agency kivonat</w:t>
      </w:r>
      <w:r w:rsidR="00812916">
        <w:rPr>
          <w:rFonts w:ascii="Times New Roman" w:hAnsi="Times New Roman" w:cs="Times New Roman"/>
        </w:rPr>
        <w:t>, 2004</w:t>
      </w:r>
      <w:r w:rsidR="00BF538B" w:rsidRPr="00BF538B">
        <w:rPr>
          <w:rFonts w:ascii="Times New Roman" w:hAnsi="Times New Roman" w:cs="Times New Roman"/>
        </w:rPr>
        <w:t>:</w:t>
      </w:r>
      <w:hyperlink r:id="rId67" w:history="1">
        <w:r w:rsidR="00BF538B" w:rsidRPr="00BF538B">
          <w:rPr>
            <w:rStyle w:val="Hiperhivatkozs"/>
            <w:rFonts w:ascii="Times New Roman" w:hAnsi="Times New Roman" w:cs="Times New Roman"/>
          </w:rPr>
          <w:t>http://s3.amazonaws.com/zanran_storage/flipp.dinstudio.se/ContentPages/43307495.pdf</w:t>
        </w:r>
      </w:hyperlink>
    </w:p>
    <w:p w:rsidR="00EE1051" w:rsidRDefault="00776DB2" w:rsidP="00DA46C6">
      <w:pPr>
        <w:autoSpaceDE w:val="0"/>
        <w:autoSpaceDN w:val="0"/>
        <w:adjustRightInd w:val="0"/>
        <w:spacing w:after="0" w:line="360" w:lineRule="auto"/>
        <w:jc w:val="both"/>
        <w:rPr>
          <w:rFonts w:ascii="Times New Roman" w:hAnsi="Times New Roman" w:cs="Times New Roman"/>
        </w:rPr>
      </w:pPr>
      <w:r w:rsidRPr="004A7EA1">
        <w:rPr>
          <w:rFonts w:ascii="Times New Roman" w:hAnsi="Times New Roman" w:cs="Times New Roman"/>
          <w:b/>
        </w:rPr>
        <w:t>SPECK</w:t>
      </w:r>
      <w:r>
        <w:rPr>
          <w:rFonts w:ascii="Times New Roman" w:hAnsi="Times New Roman" w:cs="Times New Roman"/>
          <w:b/>
        </w:rPr>
        <w:t xml:space="preserve"> </w:t>
      </w:r>
      <w:r w:rsidR="00812916">
        <w:rPr>
          <w:rFonts w:ascii="Times New Roman" w:hAnsi="Times New Roman" w:cs="Times New Roman"/>
        </w:rPr>
        <w:t>Stefan et al.</w:t>
      </w:r>
      <w:r w:rsidRPr="004A7EA1">
        <w:rPr>
          <w:rFonts w:ascii="Times New Roman" w:hAnsi="Times New Roman" w:cs="Times New Roman"/>
        </w:rPr>
        <w:t>: Nordic Council of Ministers, The Use of Economic Instruments in Nordic and Baltic Environmental Policy 2001 – 2005.</w:t>
      </w:r>
      <w:r w:rsidR="00812916">
        <w:rPr>
          <w:rFonts w:ascii="Times New Roman" w:hAnsi="Times New Roman" w:cs="Times New Roman"/>
        </w:rPr>
        <w:t xml:space="preserve"> 2006.</w:t>
      </w:r>
    </w:p>
    <w:p w:rsidR="00776DB2" w:rsidRPr="004A7EA1" w:rsidRDefault="00377C43" w:rsidP="00DA46C6">
      <w:pPr>
        <w:autoSpaceDE w:val="0"/>
        <w:autoSpaceDN w:val="0"/>
        <w:adjustRightInd w:val="0"/>
        <w:spacing w:after="0" w:line="360" w:lineRule="auto"/>
        <w:jc w:val="both"/>
        <w:rPr>
          <w:rFonts w:ascii="Times New Roman" w:hAnsi="Times New Roman" w:cs="Times New Roman"/>
        </w:rPr>
      </w:pPr>
      <w:hyperlink r:id="rId68" w:history="1">
        <w:r w:rsidR="00E26104" w:rsidRPr="00E26104">
          <w:rPr>
            <w:rStyle w:val="Hiperhivatkozs"/>
            <w:rFonts w:ascii="Times New Roman" w:hAnsi="Times New Roman" w:cs="Times New Roman"/>
          </w:rPr>
          <w:t>www. norden.org/en/publications/publikationer/2006-525</w:t>
        </w:r>
      </w:hyperlink>
      <w:r w:rsidR="00776DB2" w:rsidRPr="004A7EA1">
        <w:rPr>
          <w:rFonts w:ascii="Times New Roman" w:hAnsi="Times New Roman" w:cs="Times New Roman"/>
        </w:rPr>
        <w:tab/>
      </w:r>
    </w:p>
    <w:p w:rsidR="00EE1051" w:rsidRDefault="00776DB2" w:rsidP="00DA46C6">
      <w:pPr>
        <w:pStyle w:val="Lbjegyzetszveg"/>
        <w:spacing w:line="360" w:lineRule="auto"/>
        <w:jc w:val="both"/>
        <w:rPr>
          <w:rFonts w:ascii="Times New Roman" w:hAnsi="Times New Roman" w:cs="Times New Roman"/>
          <w:sz w:val="22"/>
        </w:rPr>
      </w:pPr>
      <w:r w:rsidRPr="00590C1A">
        <w:rPr>
          <w:rFonts w:ascii="Times New Roman" w:hAnsi="Times New Roman" w:cs="Times New Roman"/>
          <w:b/>
          <w:sz w:val="22"/>
        </w:rPr>
        <w:t xml:space="preserve">SPECK </w:t>
      </w:r>
      <w:r w:rsidR="00812916">
        <w:rPr>
          <w:rFonts w:ascii="Times New Roman" w:hAnsi="Times New Roman" w:cs="Times New Roman"/>
          <w:sz w:val="22"/>
        </w:rPr>
        <w:t>Stefan et al.</w:t>
      </w:r>
      <w:r w:rsidRPr="00590C1A">
        <w:rPr>
          <w:rFonts w:ascii="Times New Roman" w:hAnsi="Times New Roman" w:cs="Times New Roman"/>
          <w:sz w:val="22"/>
        </w:rPr>
        <w:t>: The Reality of Carbon Taxes in the 21</w:t>
      </w:r>
      <w:r w:rsidRPr="00590C1A">
        <w:rPr>
          <w:rFonts w:ascii="Times New Roman" w:hAnsi="Times New Roman" w:cs="Times New Roman"/>
          <w:sz w:val="22"/>
          <w:vertAlign w:val="superscript"/>
        </w:rPr>
        <w:t xml:space="preserve">st </w:t>
      </w:r>
      <w:r w:rsidRPr="00590C1A">
        <w:rPr>
          <w:rFonts w:ascii="Times New Roman" w:hAnsi="Times New Roman" w:cs="Times New Roman"/>
          <w:sz w:val="22"/>
        </w:rPr>
        <w:t>century. Vermont Law School</w:t>
      </w:r>
      <w:r w:rsidR="00AC152A">
        <w:rPr>
          <w:rFonts w:ascii="Times New Roman" w:hAnsi="Times New Roman" w:cs="Times New Roman"/>
          <w:sz w:val="22"/>
        </w:rPr>
        <w:t xml:space="preserve">, </w:t>
      </w:r>
      <w:r w:rsidR="00812916">
        <w:rPr>
          <w:rFonts w:ascii="Times New Roman" w:hAnsi="Times New Roman" w:cs="Times New Roman"/>
          <w:sz w:val="22"/>
        </w:rPr>
        <w:t>2008.</w:t>
      </w:r>
    </w:p>
    <w:p w:rsidR="00776DB2" w:rsidRPr="00590C1A" w:rsidRDefault="00377C43" w:rsidP="00DA46C6">
      <w:pPr>
        <w:pStyle w:val="Lbjegyzetszveg"/>
        <w:spacing w:line="360" w:lineRule="auto"/>
        <w:jc w:val="both"/>
        <w:rPr>
          <w:rFonts w:ascii="Times New Roman" w:hAnsi="Times New Roman" w:cs="Times New Roman"/>
          <w:sz w:val="22"/>
          <w:lang w:val="en-GB"/>
        </w:rPr>
      </w:pPr>
      <w:hyperlink r:id="rId69" w:history="1">
        <w:r w:rsidR="00BF538B" w:rsidRPr="00CA1492">
          <w:rPr>
            <w:rStyle w:val="Hiperhivatkozs"/>
            <w:rFonts w:ascii="Times New Roman" w:hAnsi="Times New Roman" w:cs="Times New Roman"/>
            <w:sz w:val="22"/>
            <w:lang w:val="en-GB"/>
          </w:rPr>
          <w:t>www.vermontlaw.edu/Documents/020309-carbonTaxPaper.pdf</w:t>
        </w:r>
      </w:hyperlink>
    </w:p>
    <w:p w:rsidR="00EE1051" w:rsidRDefault="00776DB2" w:rsidP="00DA46C6">
      <w:pPr>
        <w:autoSpaceDE w:val="0"/>
        <w:autoSpaceDN w:val="0"/>
        <w:adjustRightInd w:val="0"/>
        <w:spacing w:after="0" w:line="360" w:lineRule="auto"/>
        <w:jc w:val="both"/>
        <w:rPr>
          <w:rFonts w:ascii="Times New Roman" w:hAnsi="Times New Roman" w:cs="Times New Roman"/>
        </w:rPr>
      </w:pPr>
      <w:r w:rsidRPr="004A7EA1">
        <w:rPr>
          <w:rFonts w:ascii="Times New Roman" w:hAnsi="Times New Roman" w:cs="Times New Roman"/>
          <w:b/>
        </w:rPr>
        <w:t>SPECK</w:t>
      </w:r>
      <w:r>
        <w:rPr>
          <w:rFonts w:ascii="Times New Roman" w:hAnsi="Times New Roman" w:cs="Times New Roman"/>
          <w:b/>
        </w:rPr>
        <w:t xml:space="preserve"> </w:t>
      </w:r>
      <w:r>
        <w:rPr>
          <w:rFonts w:ascii="Times New Roman" w:hAnsi="Times New Roman" w:cs="Times New Roman"/>
        </w:rPr>
        <w:t>Stefan</w:t>
      </w:r>
      <w:r w:rsidRPr="004A7EA1">
        <w:rPr>
          <w:rFonts w:ascii="Times New Roman" w:hAnsi="Times New Roman" w:cs="Times New Roman"/>
        </w:rPr>
        <w:t>: The design of carbon and broad-based energy taxes in European Countries</w:t>
      </w:r>
      <w:r w:rsidR="006F30B0">
        <w:rPr>
          <w:rFonts w:ascii="Times New Roman" w:hAnsi="Times New Roman" w:cs="Times New Roman"/>
        </w:rPr>
        <w:t>.</w:t>
      </w:r>
    </w:p>
    <w:p w:rsidR="00776DB2" w:rsidRPr="004A7EA1" w:rsidRDefault="00377C43" w:rsidP="00DA46C6">
      <w:pPr>
        <w:autoSpaceDE w:val="0"/>
        <w:autoSpaceDN w:val="0"/>
        <w:adjustRightInd w:val="0"/>
        <w:spacing w:after="0" w:line="360" w:lineRule="auto"/>
        <w:jc w:val="both"/>
        <w:rPr>
          <w:rFonts w:ascii="Times New Roman" w:hAnsi="Times New Roman" w:cs="Times New Roman"/>
        </w:rPr>
      </w:pPr>
      <w:hyperlink r:id="rId70" w:history="1">
        <w:r w:rsidR="00BF538B" w:rsidRPr="00CA1492">
          <w:rPr>
            <w:rStyle w:val="Hiperhivatkozs"/>
            <w:rFonts w:ascii="Times New Roman" w:hAnsi="Times New Roman" w:cs="Times New Roman"/>
          </w:rPr>
          <w:t>www.vjel.org/journal/pdf/VJEL10074.pdf</w:t>
        </w:r>
      </w:hyperlink>
    </w:p>
    <w:p w:rsidR="00776DB2" w:rsidRPr="004A7EA1" w:rsidRDefault="00776DB2" w:rsidP="00DA46C6">
      <w:pPr>
        <w:autoSpaceDE w:val="0"/>
        <w:autoSpaceDN w:val="0"/>
        <w:adjustRightInd w:val="0"/>
        <w:spacing w:after="0" w:line="360" w:lineRule="auto"/>
        <w:jc w:val="both"/>
        <w:rPr>
          <w:rFonts w:ascii="Times New Roman" w:hAnsi="Times New Roman" w:cs="Times New Roman"/>
        </w:rPr>
      </w:pPr>
      <w:r w:rsidRPr="004A7EA1">
        <w:rPr>
          <w:rFonts w:ascii="Times New Roman" w:hAnsi="Times New Roman" w:cs="Times New Roman"/>
          <w:b/>
        </w:rPr>
        <w:t>STERNER</w:t>
      </w:r>
      <w:r>
        <w:rPr>
          <w:rFonts w:ascii="Times New Roman" w:hAnsi="Times New Roman" w:cs="Times New Roman"/>
          <w:b/>
        </w:rPr>
        <w:t xml:space="preserve"> </w:t>
      </w:r>
      <w:r>
        <w:rPr>
          <w:rFonts w:ascii="Times New Roman" w:hAnsi="Times New Roman" w:cs="Times New Roman"/>
        </w:rPr>
        <w:t>Thomas</w:t>
      </w:r>
      <w:r w:rsidRPr="004A7EA1">
        <w:rPr>
          <w:rFonts w:ascii="Times New Roman" w:hAnsi="Times New Roman" w:cs="Times New Roman"/>
        </w:rPr>
        <w:t>: Policy Instruments for Environmental and Natural Resource Management.</w:t>
      </w:r>
      <w:r w:rsidR="00812916">
        <w:rPr>
          <w:rFonts w:ascii="Times New Roman" w:hAnsi="Times New Roman" w:cs="Times New Roman"/>
        </w:rPr>
        <w:t xml:space="preserve"> Routledge Publisher, 2003.</w:t>
      </w:r>
    </w:p>
    <w:p w:rsidR="00776DB2" w:rsidRPr="004A7EA1" w:rsidRDefault="00776DB2" w:rsidP="00DA46C6">
      <w:pPr>
        <w:autoSpaceDE w:val="0"/>
        <w:autoSpaceDN w:val="0"/>
        <w:adjustRightInd w:val="0"/>
        <w:spacing w:after="0" w:line="360" w:lineRule="auto"/>
        <w:jc w:val="both"/>
        <w:rPr>
          <w:rFonts w:ascii="Times New Roman" w:hAnsi="Times New Roman" w:cs="Times New Roman"/>
        </w:rPr>
      </w:pPr>
      <w:r w:rsidRPr="004A7EA1">
        <w:rPr>
          <w:rFonts w:ascii="Times New Roman" w:hAnsi="Times New Roman" w:cs="Times New Roman"/>
          <w:b/>
        </w:rPr>
        <w:t>Swedish Ministry of Finance Government</w:t>
      </w:r>
      <w:r w:rsidRPr="004A7EA1">
        <w:rPr>
          <w:rFonts w:ascii="Times New Roman" w:hAnsi="Times New Roman" w:cs="Times New Roman"/>
        </w:rPr>
        <w:t>, Budget 2008. Higher Carbon Dioxide Tax for Reduced Traffic Emissions, Fact Sheet on the Swedish Government’s Budget Bill for 2008.</w:t>
      </w:r>
      <w:r w:rsidR="00BF538B">
        <w:t xml:space="preserve"> </w:t>
      </w:r>
      <w:hyperlink r:id="rId71" w:history="1">
        <w:r w:rsidR="00BF538B" w:rsidRPr="00CA1492">
          <w:rPr>
            <w:rStyle w:val="Hiperhivatkozs"/>
            <w:rFonts w:ascii="Times New Roman" w:hAnsi="Times New Roman" w:cs="Times New Roman"/>
          </w:rPr>
          <w:t>www.regeringen.se/content/1/c6/08/86/13/5e9ed088.pdf</w:t>
        </w:r>
      </w:hyperlink>
      <w:r w:rsidR="003B7ED3">
        <w:rPr>
          <w:rFonts w:ascii="Times New Roman" w:hAnsi="Times New Roman" w:cs="Times New Roman"/>
        </w:rPr>
        <w:tab/>
      </w:r>
      <w:r w:rsidR="003B7ED3">
        <w:rPr>
          <w:rFonts w:ascii="Times New Roman" w:hAnsi="Times New Roman" w:cs="Times New Roman"/>
        </w:rPr>
        <w:br/>
      </w:r>
      <w:r w:rsidR="003B7ED3" w:rsidRPr="00776DB2">
        <w:rPr>
          <w:rFonts w:ascii="Times New Roman" w:hAnsi="Times New Roman" w:cs="Times New Roman"/>
          <w:b/>
        </w:rPr>
        <w:t>SZAKÁCS</w:t>
      </w:r>
      <w:r w:rsidR="00812916">
        <w:rPr>
          <w:rFonts w:ascii="Times New Roman" w:hAnsi="Times New Roman" w:cs="Times New Roman"/>
        </w:rPr>
        <w:t xml:space="preserve"> Imre</w:t>
      </w:r>
      <w:r w:rsidR="003B7ED3" w:rsidRPr="00776DB2">
        <w:rPr>
          <w:rFonts w:ascii="Times New Roman" w:hAnsi="Times New Roman" w:cs="Times New Roman"/>
        </w:rPr>
        <w:t>: Az adózás nagy kézikönyve. Budapest, Complex Kiadó</w:t>
      </w:r>
      <w:r w:rsidR="00812916">
        <w:rPr>
          <w:rFonts w:ascii="Times New Roman" w:hAnsi="Times New Roman" w:cs="Times New Roman"/>
        </w:rPr>
        <w:t>, 2010.</w:t>
      </w:r>
    </w:p>
    <w:p w:rsidR="00EE1051" w:rsidRDefault="00776DB2" w:rsidP="00DA46C6">
      <w:pPr>
        <w:pStyle w:val="Lbjegyzetszveg"/>
        <w:spacing w:line="360" w:lineRule="auto"/>
        <w:jc w:val="both"/>
        <w:rPr>
          <w:sz w:val="22"/>
        </w:rPr>
      </w:pPr>
      <w:r w:rsidRPr="008E3FD6">
        <w:rPr>
          <w:rFonts w:ascii="Times New Roman" w:hAnsi="Times New Roman" w:cs="Times New Roman"/>
          <w:b/>
          <w:sz w:val="22"/>
        </w:rPr>
        <w:t>SZALAY</w:t>
      </w:r>
      <w:r w:rsidR="00812916">
        <w:rPr>
          <w:rFonts w:ascii="Times New Roman" w:hAnsi="Times New Roman" w:cs="Times New Roman"/>
          <w:sz w:val="22"/>
        </w:rPr>
        <w:t xml:space="preserve"> Zoltán</w:t>
      </w:r>
      <w:r w:rsidRPr="008E3FD6">
        <w:rPr>
          <w:rFonts w:ascii="Times New Roman" w:hAnsi="Times New Roman" w:cs="Times New Roman"/>
          <w:sz w:val="22"/>
        </w:rPr>
        <w:t>: Környezetpolitika. Győr</w:t>
      </w:r>
      <w:r w:rsidR="00812916">
        <w:rPr>
          <w:rFonts w:ascii="Times New Roman" w:hAnsi="Times New Roman" w:cs="Times New Roman"/>
          <w:sz w:val="22"/>
        </w:rPr>
        <w:t>, 1998.</w:t>
      </w:r>
    </w:p>
    <w:p w:rsidR="00776DB2" w:rsidRPr="008E3FD6" w:rsidRDefault="00377C43" w:rsidP="00DA46C6">
      <w:pPr>
        <w:pStyle w:val="Lbjegyzetszveg"/>
        <w:spacing w:line="360" w:lineRule="auto"/>
        <w:jc w:val="both"/>
        <w:rPr>
          <w:rFonts w:ascii="Times New Roman" w:hAnsi="Times New Roman" w:cs="Times New Roman"/>
        </w:rPr>
      </w:pPr>
      <w:hyperlink r:id="rId72" w:history="1">
        <w:r w:rsidR="008E3FD6" w:rsidRPr="008E3FD6">
          <w:rPr>
            <w:rStyle w:val="Hiperhivatkozs"/>
            <w:rFonts w:ascii="Times New Roman" w:hAnsi="Times New Roman" w:cs="Times New Roman"/>
            <w:sz w:val="22"/>
          </w:rPr>
          <w:t>http://gyorijegyzet.uw.hu/KornyezetPolitika.pdf</w:t>
        </w:r>
      </w:hyperlink>
    </w:p>
    <w:p w:rsidR="00776DB2" w:rsidRPr="004A7EA1" w:rsidRDefault="00776DB2" w:rsidP="00DA46C6">
      <w:pPr>
        <w:autoSpaceDE w:val="0"/>
        <w:autoSpaceDN w:val="0"/>
        <w:adjustRightInd w:val="0"/>
        <w:spacing w:after="0" w:line="360" w:lineRule="auto"/>
        <w:jc w:val="both"/>
        <w:rPr>
          <w:rFonts w:ascii="Times New Roman" w:hAnsi="Times New Roman" w:cs="Times New Roman"/>
        </w:rPr>
      </w:pPr>
      <w:r w:rsidRPr="004A7EA1">
        <w:rPr>
          <w:rFonts w:ascii="Times New Roman" w:hAnsi="Times New Roman" w:cs="Times New Roman"/>
          <w:b/>
        </w:rPr>
        <w:t>Taxation Papers</w:t>
      </w:r>
      <w:r w:rsidRPr="004A7EA1">
        <w:rPr>
          <w:rFonts w:ascii="Times New Roman" w:hAnsi="Times New Roman" w:cs="Times New Roman"/>
        </w:rPr>
        <w:t xml:space="preserve">: Regressivity in environmental taxation: myth or reality? </w:t>
      </w:r>
      <w:r w:rsidR="00812916">
        <w:rPr>
          <w:rFonts w:ascii="Times New Roman" w:hAnsi="Times New Roman" w:cs="Times New Roman"/>
        </w:rPr>
        <w:t>2012.</w:t>
      </w:r>
      <w:r w:rsidRPr="004A7EA1">
        <w:rPr>
          <w:rFonts w:ascii="Times New Roman" w:hAnsi="Times New Roman" w:cs="Times New Roman"/>
        </w:rPr>
        <w:t>No.32.</w:t>
      </w:r>
      <w:r w:rsidR="00E26104">
        <w:rPr>
          <w:rFonts w:ascii="Times New Roman" w:hAnsi="Times New Roman" w:cs="Times New Roman"/>
        </w:rPr>
        <w:t xml:space="preserve"> </w:t>
      </w:r>
      <w:hyperlink r:id="rId73" w:history="1">
        <w:r w:rsidR="00BF538B" w:rsidRPr="00BF538B">
          <w:rPr>
            <w:rStyle w:val="Hiperhivatkozs"/>
            <w:rFonts w:ascii="Times New Roman" w:hAnsi="Times New Roman" w:cs="Times New Roman"/>
          </w:rPr>
          <w:t>http://ec.europa.eu/taxation_customs/resources/documents/taxation/gen_info/economic_analysis/tax_papers/taxation_paper_32_en.pdf</w:t>
        </w:r>
      </w:hyperlink>
      <w:r w:rsidRPr="004A7EA1">
        <w:rPr>
          <w:rFonts w:ascii="Times New Roman" w:hAnsi="Times New Roman" w:cs="Times New Roman"/>
        </w:rPr>
        <w:tab/>
      </w:r>
    </w:p>
    <w:p w:rsidR="00EE1051" w:rsidRDefault="00776DB2" w:rsidP="00DA46C6">
      <w:pPr>
        <w:autoSpaceDE w:val="0"/>
        <w:autoSpaceDN w:val="0"/>
        <w:adjustRightInd w:val="0"/>
        <w:spacing w:after="0" w:line="360" w:lineRule="auto"/>
        <w:jc w:val="both"/>
        <w:rPr>
          <w:rFonts w:ascii="Times New Roman" w:hAnsi="Times New Roman" w:cs="Times New Roman"/>
        </w:rPr>
      </w:pPr>
      <w:r w:rsidRPr="004A7EA1">
        <w:rPr>
          <w:rFonts w:ascii="Times New Roman" w:hAnsi="Times New Roman" w:cs="Times New Roman"/>
          <w:b/>
        </w:rPr>
        <w:t>Taxation Trends</w:t>
      </w:r>
      <w:r w:rsidR="00812916">
        <w:rPr>
          <w:rFonts w:ascii="Times New Roman" w:hAnsi="Times New Roman" w:cs="Times New Roman"/>
        </w:rPr>
        <w:t xml:space="preserve"> in the European Union</w:t>
      </w:r>
      <w:r w:rsidRPr="004A7EA1">
        <w:rPr>
          <w:rFonts w:ascii="Times New Roman" w:hAnsi="Times New Roman" w:cs="Times New Roman"/>
        </w:rPr>
        <w:t>: Data for the EU Mem</w:t>
      </w:r>
      <w:r w:rsidR="00AC152A">
        <w:rPr>
          <w:rFonts w:ascii="Times New Roman" w:hAnsi="Times New Roman" w:cs="Times New Roman"/>
        </w:rPr>
        <w:t>ber States and Norway, Eurostat/</w:t>
      </w:r>
      <w:r w:rsidR="00812916">
        <w:rPr>
          <w:rFonts w:ascii="Times New Roman" w:hAnsi="Times New Roman" w:cs="Times New Roman"/>
        </w:rPr>
        <w:t>2008</w:t>
      </w:r>
      <w:r w:rsidR="00AC152A">
        <w:rPr>
          <w:rFonts w:ascii="Times New Roman" w:hAnsi="Times New Roman" w:cs="Times New Roman"/>
        </w:rPr>
        <w:t>.</w:t>
      </w:r>
    </w:p>
    <w:p w:rsidR="00776DB2" w:rsidRPr="004A7EA1" w:rsidRDefault="00377C43" w:rsidP="00DA46C6">
      <w:pPr>
        <w:autoSpaceDE w:val="0"/>
        <w:autoSpaceDN w:val="0"/>
        <w:adjustRightInd w:val="0"/>
        <w:spacing w:after="0" w:line="360" w:lineRule="auto"/>
        <w:jc w:val="both"/>
        <w:rPr>
          <w:rFonts w:ascii="Times New Roman" w:hAnsi="Times New Roman" w:cs="Times New Roman"/>
        </w:rPr>
      </w:pPr>
      <w:hyperlink r:id="rId74" w:history="1">
        <w:r w:rsidR="00D05254" w:rsidRPr="002A3B84">
          <w:rPr>
            <w:rStyle w:val="Hiperhivatkozs"/>
            <w:rFonts w:ascii="Times New Roman" w:hAnsi="Times New Roman" w:cs="Times New Roman"/>
            <w:lang w:val="en-GB"/>
          </w:rPr>
          <w:t>http://ec.europa.eu/taxation_customs/resources/documents/taxation/gen_info/economic_analysis/tax_structures/structures2008.pdf</w:t>
        </w:r>
      </w:hyperlink>
    </w:p>
    <w:p w:rsidR="00EE1051" w:rsidRDefault="00776DB2" w:rsidP="00DA46C6">
      <w:pPr>
        <w:autoSpaceDE w:val="0"/>
        <w:autoSpaceDN w:val="0"/>
        <w:adjustRightInd w:val="0"/>
        <w:spacing w:after="0" w:line="360" w:lineRule="auto"/>
        <w:jc w:val="both"/>
        <w:rPr>
          <w:rFonts w:ascii="Times New Roman" w:hAnsi="Times New Roman" w:cs="Times New Roman"/>
        </w:rPr>
      </w:pPr>
      <w:r w:rsidRPr="004A7EA1">
        <w:rPr>
          <w:rFonts w:ascii="Times New Roman" w:hAnsi="Times New Roman" w:cs="Times New Roman"/>
          <w:b/>
        </w:rPr>
        <w:t>Taxation trends</w:t>
      </w:r>
      <w:r w:rsidR="00812916">
        <w:rPr>
          <w:rFonts w:ascii="Times New Roman" w:hAnsi="Times New Roman" w:cs="Times New Roman"/>
        </w:rPr>
        <w:t xml:space="preserve"> in the European Union</w:t>
      </w:r>
      <w:r w:rsidRPr="004A7EA1">
        <w:rPr>
          <w:rFonts w:ascii="Times New Roman" w:hAnsi="Times New Roman" w:cs="Times New Roman"/>
        </w:rPr>
        <w:t>: data for EU M</w:t>
      </w:r>
      <w:r w:rsidR="00AC152A">
        <w:rPr>
          <w:rFonts w:ascii="Times New Roman" w:hAnsi="Times New Roman" w:cs="Times New Roman"/>
        </w:rPr>
        <w:t xml:space="preserve">ember State, Iceland and Norway, </w:t>
      </w:r>
      <w:r w:rsidR="00812916">
        <w:rPr>
          <w:rFonts w:ascii="Times New Roman" w:hAnsi="Times New Roman" w:cs="Times New Roman"/>
        </w:rPr>
        <w:t>2012</w:t>
      </w:r>
      <w:r w:rsidR="00AC152A">
        <w:rPr>
          <w:rFonts w:ascii="Times New Roman" w:hAnsi="Times New Roman" w:cs="Times New Roman"/>
        </w:rPr>
        <w:t>.</w:t>
      </w:r>
    </w:p>
    <w:p w:rsidR="00776DB2" w:rsidRDefault="00377C43" w:rsidP="00DA46C6">
      <w:pPr>
        <w:autoSpaceDE w:val="0"/>
        <w:autoSpaceDN w:val="0"/>
        <w:adjustRightInd w:val="0"/>
        <w:spacing w:after="0" w:line="360" w:lineRule="auto"/>
        <w:jc w:val="both"/>
        <w:rPr>
          <w:rFonts w:ascii="Times New Roman" w:hAnsi="Times New Roman" w:cs="Times New Roman"/>
        </w:rPr>
      </w:pPr>
      <w:hyperlink r:id="rId75" w:history="1">
        <w:r w:rsidR="006F30B0" w:rsidRPr="00D36BD1">
          <w:rPr>
            <w:rStyle w:val="Hiperhivatkozs"/>
            <w:rFonts w:ascii="Times New Roman" w:hAnsi="Times New Roman" w:cs="Times New Roman"/>
          </w:rPr>
          <w:t>http://epp.eurostat.ec.europa.eu/cache/ITY_OFFPUB/KS-DU-12-001/EN/KS-DU-12-001-EN.PDF</w:t>
        </w:r>
      </w:hyperlink>
    </w:p>
    <w:p w:rsidR="00EE1051" w:rsidRDefault="00776DB2" w:rsidP="00DA46C6">
      <w:pPr>
        <w:autoSpaceDE w:val="0"/>
        <w:autoSpaceDN w:val="0"/>
        <w:adjustRightInd w:val="0"/>
        <w:spacing w:after="0" w:line="360" w:lineRule="auto"/>
        <w:jc w:val="both"/>
        <w:rPr>
          <w:rFonts w:ascii="Times New Roman" w:hAnsi="Times New Roman" w:cs="Times New Roman"/>
        </w:rPr>
      </w:pPr>
      <w:r w:rsidRPr="004A7EA1">
        <w:rPr>
          <w:rFonts w:ascii="Times New Roman" w:hAnsi="Times New Roman" w:cs="Times New Roman"/>
          <w:b/>
        </w:rPr>
        <w:t>Working Paper</w:t>
      </w:r>
      <w:r w:rsidRPr="004A7EA1">
        <w:rPr>
          <w:rFonts w:ascii="Times New Roman" w:hAnsi="Times New Roman" w:cs="Times New Roman"/>
        </w:rPr>
        <w:t>: Overview of Environmental Tax</w:t>
      </w:r>
      <w:r w:rsidR="00E26104">
        <w:rPr>
          <w:rFonts w:ascii="Times New Roman" w:hAnsi="Times New Roman" w:cs="Times New Roman"/>
        </w:rPr>
        <w:t xml:space="preserve"> Reform in EU Member States, in </w:t>
      </w:r>
      <w:r w:rsidRPr="004A7EA1">
        <w:rPr>
          <w:rFonts w:ascii="Times New Roman" w:hAnsi="Times New Roman" w:cs="Times New Roman"/>
        </w:rPr>
        <w:t>Competitiveness Effects of</w:t>
      </w:r>
      <w:r w:rsidR="00E26104">
        <w:rPr>
          <w:rFonts w:ascii="Times New Roman" w:hAnsi="Times New Roman" w:cs="Times New Roman"/>
        </w:rPr>
        <w:t xml:space="preserve"> Environmental Tax Reforms, </w:t>
      </w:r>
      <w:r w:rsidR="00812916">
        <w:rPr>
          <w:rFonts w:ascii="Times New Roman" w:hAnsi="Times New Roman" w:cs="Times New Roman"/>
        </w:rPr>
        <w:t>2007,</w:t>
      </w:r>
      <w:r w:rsidR="00E26104">
        <w:rPr>
          <w:rFonts w:ascii="Times New Roman" w:hAnsi="Times New Roman" w:cs="Times New Roman"/>
        </w:rPr>
        <w:t>22,WP.1.</w:t>
      </w:r>
    </w:p>
    <w:p w:rsidR="003B7ED3" w:rsidRDefault="00377C43" w:rsidP="00EE1051">
      <w:pPr>
        <w:autoSpaceDE w:val="0"/>
        <w:autoSpaceDN w:val="0"/>
        <w:adjustRightInd w:val="0"/>
        <w:spacing w:after="0" w:line="360" w:lineRule="auto"/>
        <w:jc w:val="both"/>
        <w:rPr>
          <w:rFonts w:ascii="Times New Roman" w:hAnsi="Times New Roman" w:cs="Times New Roman"/>
        </w:rPr>
      </w:pPr>
      <w:hyperlink r:id="rId76" w:history="1">
        <w:r w:rsidR="00EE1051" w:rsidRPr="00EE1051">
          <w:rPr>
            <w:rStyle w:val="Hiperhivatkozs"/>
            <w:rFonts w:ascii="Times New Roman" w:hAnsi="Times New Roman" w:cs="Times New Roman"/>
          </w:rPr>
          <w:t>http://www2.dmu.dk/cometr/COMETR_Final_Report.pdf</w:t>
        </w:r>
      </w:hyperlink>
      <w:r w:rsidR="00776DB2">
        <w:rPr>
          <w:rFonts w:ascii="Times New Roman" w:hAnsi="Times New Roman" w:cs="Times New Roman"/>
        </w:rPr>
        <w:br/>
      </w:r>
    </w:p>
    <w:p w:rsidR="003B7ED3" w:rsidRDefault="003B7ED3" w:rsidP="00BA0582">
      <w:pPr>
        <w:pStyle w:val="Cmsor1"/>
        <w:rPr>
          <w:rFonts w:ascii="Times New Roman" w:hAnsi="Times New Roman" w:cs="Times New Roman"/>
        </w:rPr>
      </w:pPr>
    </w:p>
    <w:p w:rsidR="00EE1051" w:rsidRPr="00EE1051" w:rsidRDefault="00EE1051" w:rsidP="00EE1051"/>
    <w:p w:rsidR="003B7ED3" w:rsidRDefault="003B7ED3" w:rsidP="00BA0582">
      <w:pPr>
        <w:pStyle w:val="Cmsor1"/>
        <w:rPr>
          <w:rFonts w:ascii="Times New Roman" w:hAnsi="Times New Roman" w:cs="Times New Roman"/>
        </w:rPr>
      </w:pPr>
    </w:p>
    <w:p w:rsidR="003B7ED3" w:rsidRDefault="003B7ED3" w:rsidP="00BA0582">
      <w:pPr>
        <w:pStyle w:val="Cmsor1"/>
        <w:rPr>
          <w:rFonts w:ascii="Times New Roman" w:hAnsi="Times New Roman" w:cs="Times New Roman"/>
        </w:rPr>
      </w:pPr>
    </w:p>
    <w:p w:rsidR="003B7ED3" w:rsidRDefault="003B7ED3" w:rsidP="00BA0582">
      <w:pPr>
        <w:pStyle w:val="Cmsor1"/>
        <w:rPr>
          <w:rFonts w:ascii="Times New Roman" w:hAnsi="Times New Roman" w:cs="Times New Roman"/>
        </w:rPr>
      </w:pPr>
    </w:p>
    <w:p w:rsidR="003B7ED3" w:rsidRDefault="003B7ED3" w:rsidP="00BA0582">
      <w:pPr>
        <w:pStyle w:val="Cmsor1"/>
        <w:rPr>
          <w:rFonts w:ascii="Times New Roman" w:hAnsi="Times New Roman" w:cs="Times New Roman"/>
        </w:rPr>
      </w:pPr>
    </w:p>
    <w:p w:rsidR="00DA46C6" w:rsidRDefault="00DA46C6" w:rsidP="00DA46C6"/>
    <w:p w:rsidR="00DA46C6" w:rsidRPr="00DA46C6" w:rsidRDefault="00DA46C6" w:rsidP="00DA46C6"/>
    <w:p w:rsidR="003B7ED3" w:rsidRDefault="003B7ED3" w:rsidP="00BA0582">
      <w:pPr>
        <w:pStyle w:val="Cmsor1"/>
        <w:rPr>
          <w:rFonts w:ascii="Times New Roman" w:hAnsi="Times New Roman" w:cs="Times New Roman"/>
        </w:rPr>
      </w:pPr>
    </w:p>
    <w:p w:rsidR="00873D0E" w:rsidRPr="00873D0E" w:rsidRDefault="00873D0E" w:rsidP="00873D0E"/>
    <w:p w:rsidR="00743ADB" w:rsidRPr="00BA0582" w:rsidRDefault="002956E6" w:rsidP="00BA0582">
      <w:pPr>
        <w:pStyle w:val="Cmsor1"/>
        <w:rPr>
          <w:rFonts w:ascii="Times New Roman" w:hAnsi="Times New Roman" w:cs="Times New Roman"/>
          <w:sz w:val="24"/>
          <w:szCs w:val="24"/>
        </w:rPr>
      </w:pPr>
      <w:bookmarkStart w:id="13" w:name="_Toc340927919"/>
      <w:r w:rsidRPr="00BA0582">
        <w:rPr>
          <w:rFonts w:ascii="Times New Roman" w:hAnsi="Times New Roman" w:cs="Times New Roman"/>
        </w:rPr>
        <w:lastRenderedPageBreak/>
        <w:t>ÁBRAJEGYZÉK</w:t>
      </w:r>
      <w:bookmarkEnd w:id="13"/>
      <w:r w:rsidR="00743ADB" w:rsidRPr="00BA0582">
        <w:rPr>
          <w:rFonts w:ascii="Times New Roman" w:hAnsi="Times New Roman" w:cs="Times New Roman"/>
        </w:rPr>
        <w:tab/>
      </w:r>
    </w:p>
    <w:p w:rsidR="002956E6" w:rsidRPr="00743ADB" w:rsidRDefault="00CD6A6B" w:rsidP="00CD6A6B">
      <w:pPr>
        <w:rPr>
          <w:rFonts w:ascii="Times New Roman" w:hAnsi="Times New Roman" w:cs="Times New Roman"/>
          <w:bCs/>
          <w:iCs/>
          <w:spacing w:val="10"/>
          <w:sz w:val="24"/>
          <w:szCs w:val="24"/>
        </w:rPr>
      </w:pPr>
      <w:r w:rsidRPr="00743ADB">
        <w:rPr>
          <w:rFonts w:ascii="Times New Roman" w:hAnsi="Times New Roman" w:cs="Times New Roman"/>
          <w:sz w:val="24"/>
          <w:szCs w:val="24"/>
        </w:rPr>
        <w:br/>
      </w:r>
      <w:r w:rsidR="00BF1E2F">
        <w:rPr>
          <w:rFonts w:ascii="Times New Roman" w:hAnsi="Times New Roman" w:cs="Times New Roman"/>
          <w:sz w:val="24"/>
          <w:szCs w:val="24"/>
        </w:rPr>
        <w:t>1</w:t>
      </w:r>
      <w:r w:rsidRPr="00743ADB">
        <w:rPr>
          <w:rFonts w:ascii="Times New Roman" w:hAnsi="Times New Roman" w:cs="Times New Roman"/>
          <w:sz w:val="24"/>
          <w:szCs w:val="24"/>
        </w:rPr>
        <w:t>.</w:t>
      </w:r>
      <w:r w:rsidR="00743ADB">
        <w:rPr>
          <w:rFonts w:ascii="Times New Roman" w:hAnsi="Times New Roman" w:cs="Times New Roman"/>
          <w:sz w:val="24"/>
          <w:szCs w:val="24"/>
        </w:rPr>
        <w:t xml:space="preserve"> </w:t>
      </w:r>
      <w:r w:rsidRPr="00743ADB">
        <w:rPr>
          <w:rFonts w:ascii="Times New Roman" w:hAnsi="Times New Roman" w:cs="Times New Roman"/>
          <w:sz w:val="24"/>
          <w:szCs w:val="24"/>
        </w:rPr>
        <w:t>Ábr</w:t>
      </w:r>
      <w:r w:rsidRPr="00222138">
        <w:rPr>
          <w:rFonts w:ascii="Times New Roman" w:hAnsi="Times New Roman" w:cs="Times New Roman"/>
          <w:sz w:val="24"/>
          <w:szCs w:val="24"/>
        </w:rPr>
        <w:t>a</w:t>
      </w:r>
      <w:r w:rsidR="00743ADB" w:rsidRPr="00222138">
        <w:rPr>
          <w:rFonts w:ascii="Times New Roman" w:hAnsi="Times New Roman" w:cs="Times New Roman"/>
          <w:sz w:val="24"/>
          <w:szCs w:val="24"/>
        </w:rPr>
        <w:t>:</w:t>
      </w:r>
      <w:r w:rsidR="00743ADB">
        <w:rPr>
          <w:rFonts w:ascii="Times New Roman" w:hAnsi="Times New Roman" w:cs="Times New Roman"/>
          <w:b/>
          <w:sz w:val="24"/>
          <w:szCs w:val="24"/>
        </w:rPr>
        <w:t xml:space="preserve"> </w:t>
      </w:r>
      <w:r w:rsidRPr="00743ADB">
        <w:rPr>
          <w:rStyle w:val="Kiemels"/>
          <w:rFonts w:ascii="Times New Roman" w:hAnsi="Times New Roman" w:cs="Times New Roman"/>
          <w:b w:val="0"/>
          <w:i w:val="0"/>
          <w:sz w:val="24"/>
          <w:szCs w:val="24"/>
        </w:rPr>
        <w:t>A környezetvédelmi adókból származó adó</w:t>
      </w:r>
      <w:r w:rsidR="00222138">
        <w:rPr>
          <w:rStyle w:val="Kiemels"/>
          <w:rFonts w:ascii="Times New Roman" w:hAnsi="Times New Roman" w:cs="Times New Roman"/>
          <w:b w:val="0"/>
          <w:i w:val="0"/>
          <w:sz w:val="24"/>
          <w:szCs w:val="24"/>
        </w:rPr>
        <w:t>bevétel</w:t>
      </w:r>
      <w:r w:rsidR="00222138" w:rsidRPr="00222138">
        <w:rPr>
          <w:rStyle w:val="Kiemels"/>
          <w:rFonts w:ascii="Times New Roman" w:hAnsi="Times New Roman" w:cs="Times New Roman"/>
          <w:b w:val="0"/>
          <w:i w:val="0"/>
          <w:sz w:val="24"/>
          <w:szCs w:val="24"/>
          <w:u w:val="dotted"/>
        </w:rPr>
        <w:tab/>
      </w:r>
      <w:r w:rsidR="00222138">
        <w:rPr>
          <w:rStyle w:val="Kiemels"/>
          <w:rFonts w:ascii="Times New Roman" w:hAnsi="Times New Roman" w:cs="Times New Roman"/>
          <w:b w:val="0"/>
          <w:i w:val="0"/>
          <w:sz w:val="24"/>
          <w:szCs w:val="24"/>
          <w:u w:val="dotted"/>
        </w:rPr>
        <w:tab/>
      </w:r>
      <w:r w:rsidR="00222138">
        <w:rPr>
          <w:rStyle w:val="Kiemels"/>
          <w:rFonts w:ascii="Times New Roman" w:hAnsi="Times New Roman" w:cs="Times New Roman"/>
          <w:b w:val="0"/>
          <w:i w:val="0"/>
          <w:sz w:val="24"/>
          <w:szCs w:val="24"/>
          <w:u w:val="dotted"/>
        </w:rPr>
        <w:tab/>
        <w:t xml:space="preserve"> </w:t>
      </w:r>
      <w:r w:rsidR="00FD0B21">
        <w:rPr>
          <w:rStyle w:val="Kiemels"/>
          <w:rFonts w:ascii="Times New Roman" w:hAnsi="Times New Roman" w:cs="Times New Roman"/>
          <w:b w:val="0"/>
          <w:i w:val="0"/>
          <w:sz w:val="24"/>
          <w:szCs w:val="24"/>
          <w:u w:val="dotted"/>
        </w:rPr>
        <w:t xml:space="preserve">    </w:t>
      </w:r>
      <w:r w:rsidRPr="00743ADB">
        <w:rPr>
          <w:rStyle w:val="Kiemels"/>
          <w:rFonts w:ascii="Times New Roman" w:hAnsi="Times New Roman" w:cs="Times New Roman"/>
          <w:b w:val="0"/>
          <w:i w:val="0"/>
          <w:sz w:val="24"/>
          <w:szCs w:val="24"/>
        </w:rPr>
        <w:t>18. olda</w:t>
      </w:r>
      <w:r w:rsidR="00FD0B21">
        <w:rPr>
          <w:rStyle w:val="Kiemels"/>
          <w:rFonts w:ascii="Times New Roman" w:hAnsi="Times New Roman" w:cs="Times New Roman"/>
          <w:b w:val="0"/>
          <w:i w:val="0"/>
          <w:sz w:val="24"/>
          <w:szCs w:val="24"/>
        </w:rPr>
        <w:t>l</w:t>
      </w:r>
      <w:r w:rsidRPr="00743ADB">
        <w:rPr>
          <w:rStyle w:val="Kiemels"/>
          <w:rFonts w:ascii="Times New Roman" w:hAnsi="Times New Roman" w:cs="Times New Roman"/>
          <w:b w:val="0"/>
          <w:sz w:val="24"/>
          <w:szCs w:val="24"/>
        </w:rPr>
        <w:br/>
      </w:r>
      <w:r w:rsidR="00BF1E2F">
        <w:rPr>
          <w:rFonts w:ascii="Times New Roman" w:hAnsi="Times New Roman" w:cs="Times New Roman"/>
          <w:sz w:val="24"/>
          <w:szCs w:val="24"/>
        </w:rPr>
        <w:t>2</w:t>
      </w:r>
      <w:r w:rsidRPr="00743ADB">
        <w:rPr>
          <w:rFonts w:ascii="Times New Roman" w:hAnsi="Times New Roman" w:cs="Times New Roman"/>
          <w:sz w:val="24"/>
          <w:szCs w:val="24"/>
        </w:rPr>
        <w:t>.</w:t>
      </w:r>
      <w:r w:rsidRPr="00743ADB">
        <w:rPr>
          <w:rStyle w:val="Kiemels"/>
          <w:rFonts w:ascii="Times New Roman" w:hAnsi="Times New Roman" w:cs="Times New Roman"/>
          <w:b w:val="0"/>
          <w:sz w:val="24"/>
          <w:szCs w:val="24"/>
        </w:rPr>
        <w:t xml:space="preserve"> </w:t>
      </w:r>
      <w:r w:rsidR="00743ADB">
        <w:rPr>
          <w:rStyle w:val="Kiemels"/>
          <w:rFonts w:ascii="Times New Roman" w:hAnsi="Times New Roman" w:cs="Times New Roman"/>
          <w:b w:val="0"/>
          <w:i w:val="0"/>
          <w:sz w:val="24"/>
          <w:szCs w:val="24"/>
        </w:rPr>
        <w:t xml:space="preserve">Ábra: </w:t>
      </w:r>
      <w:r w:rsidRPr="00743ADB">
        <w:rPr>
          <w:rStyle w:val="Kiemels"/>
          <w:rFonts w:ascii="Times New Roman" w:hAnsi="Times New Roman" w:cs="Times New Roman"/>
          <w:b w:val="0"/>
          <w:i w:val="0"/>
          <w:sz w:val="24"/>
          <w:szCs w:val="24"/>
        </w:rPr>
        <w:t xml:space="preserve">A svéd környezetvédelmi adózás, az </w:t>
      </w:r>
      <w:r w:rsidR="00743ADB">
        <w:rPr>
          <w:rStyle w:val="Kiemels"/>
          <w:rFonts w:ascii="Times New Roman" w:hAnsi="Times New Roman" w:cs="Times New Roman"/>
          <w:b w:val="0"/>
          <w:i w:val="0"/>
          <w:sz w:val="24"/>
          <w:szCs w:val="24"/>
        </w:rPr>
        <w:t>energiaadó rendsz</w:t>
      </w:r>
      <w:r w:rsidR="00222138">
        <w:rPr>
          <w:rStyle w:val="Kiemels"/>
          <w:rFonts w:ascii="Times New Roman" w:hAnsi="Times New Roman" w:cs="Times New Roman"/>
          <w:b w:val="0"/>
          <w:i w:val="0"/>
          <w:sz w:val="24"/>
          <w:szCs w:val="24"/>
        </w:rPr>
        <w:t>ere</w:t>
      </w:r>
      <w:r w:rsidR="00222138">
        <w:rPr>
          <w:rStyle w:val="Kiemels"/>
          <w:rFonts w:ascii="Times New Roman" w:hAnsi="Times New Roman" w:cs="Times New Roman"/>
          <w:b w:val="0"/>
          <w:i w:val="0"/>
          <w:sz w:val="24"/>
          <w:szCs w:val="24"/>
        </w:rPr>
        <w:tab/>
      </w:r>
      <w:r w:rsidR="00222138" w:rsidRPr="00222138">
        <w:rPr>
          <w:rStyle w:val="Kiemels"/>
          <w:rFonts w:ascii="Times New Roman" w:hAnsi="Times New Roman" w:cs="Times New Roman"/>
          <w:b w:val="0"/>
          <w:i w:val="0"/>
          <w:sz w:val="24"/>
          <w:szCs w:val="24"/>
          <w:u w:val="dotted"/>
        </w:rPr>
        <w:tab/>
      </w:r>
      <w:r w:rsidR="00222138">
        <w:rPr>
          <w:rStyle w:val="Kiemels"/>
          <w:rFonts w:ascii="Times New Roman" w:hAnsi="Times New Roman" w:cs="Times New Roman"/>
          <w:b w:val="0"/>
          <w:i w:val="0"/>
          <w:sz w:val="24"/>
          <w:szCs w:val="24"/>
          <w:u w:val="dotted"/>
        </w:rPr>
        <w:t xml:space="preserve">     </w:t>
      </w:r>
      <w:r w:rsidR="002A5FB5">
        <w:rPr>
          <w:rStyle w:val="Kiemels"/>
          <w:rFonts w:ascii="Times New Roman" w:hAnsi="Times New Roman" w:cs="Times New Roman"/>
          <w:b w:val="0"/>
          <w:i w:val="0"/>
          <w:sz w:val="24"/>
          <w:szCs w:val="24"/>
        </w:rPr>
        <w:t>20</w:t>
      </w:r>
      <w:r w:rsidR="00743ADB">
        <w:rPr>
          <w:rStyle w:val="Kiemels"/>
          <w:rFonts w:ascii="Times New Roman" w:hAnsi="Times New Roman" w:cs="Times New Roman"/>
          <w:b w:val="0"/>
          <w:i w:val="0"/>
          <w:sz w:val="24"/>
          <w:szCs w:val="24"/>
        </w:rPr>
        <w:t>. oldal</w:t>
      </w:r>
      <w:r w:rsidR="00BF1E2F">
        <w:rPr>
          <w:rStyle w:val="Kiemels"/>
          <w:rFonts w:ascii="Times New Roman" w:hAnsi="Times New Roman" w:cs="Times New Roman"/>
          <w:b w:val="0"/>
          <w:i w:val="0"/>
          <w:sz w:val="24"/>
          <w:szCs w:val="24"/>
        </w:rPr>
        <w:br/>
        <w:t>3</w:t>
      </w:r>
      <w:r w:rsidRPr="00743ADB">
        <w:rPr>
          <w:rStyle w:val="Kiemels"/>
          <w:rFonts w:ascii="Times New Roman" w:hAnsi="Times New Roman" w:cs="Times New Roman"/>
          <w:b w:val="0"/>
          <w:i w:val="0"/>
          <w:sz w:val="24"/>
          <w:szCs w:val="24"/>
        </w:rPr>
        <w:t>. Ábra: A német környezetvédelmi adórendszer</w:t>
      </w:r>
      <w:r w:rsidR="00222138" w:rsidRPr="00222138">
        <w:rPr>
          <w:rStyle w:val="Kiemels"/>
          <w:rFonts w:ascii="Times New Roman" w:hAnsi="Times New Roman" w:cs="Times New Roman"/>
          <w:b w:val="0"/>
          <w:i w:val="0"/>
          <w:sz w:val="24"/>
          <w:szCs w:val="24"/>
          <w:u w:val="dotted"/>
        </w:rPr>
        <w:tab/>
      </w:r>
      <w:r w:rsidR="00222138" w:rsidRPr="00222138">
        <w:rPr>
          <w:rStyle w:val="Kiemels"/>
          <w:rFonts w:ascii="Times New Roman" w:hAnsi="Times New Roman" w:cs="Times New Roman"/>
          <w:b w:val="0"/>
          <w:i w:val="0"/>
          <w:sz w:val="24"/>
          <w:szCs w:val="24"/>
          <w:u w:val="dotted"/>
        </w:rPr>
        <w:tab/>
      </w:r>
      <w:r w:rsidR="00222138" w:rsidRPr="00222138">
        <w:rPr>
          <w:rStyle w:val="Kiemels"/>
          <w:rFonts w:ascii="Times New Roman" w:hAnsi="Times New Roman" w:cs="Times New Roman"/>
          <w:b w:val="0"/>
          <w:i w:val="0"/>
          <w:sz w:val="24"/>
          <w:szCs w:val="24"/>
          <w:u w:val="dotted"/>
        </w:rPr>
        <w:tab/>
      </w:r>
      <w:r w:rsidR="00222138" w:rsidRPr="00222138">
        <w:rPr>
          <w:rStyle w:val="Kiemels"/>
          <w:rFonts w:ascii="Times New Roman" w:hAnsi="Times New Roman" w:cs="Times New Roman"/>
          <w:b w:val="0"/>
          <w:i w:val="0"/>
          <w:sz w:val="24"/>
          <w:szCs w:val="24"/>
          <w:u w:val="dotted"/>
        </w:rPr>
        <w:tab/>
      </w:r>
      <w:r w:rsidR="00222138">
        <w:rPr>
          <w:rStyle w:val="Kiemels"/>
          <w:rFonts w:ascii="Times New Roman" w:hAnsi="Times New Roman" w:cs="Times New Roman"/>
          <w:b w:val="0"/>
          <w:i w:val="0"/>
          <w:sz w:val="24"/>
          <w:szCs w:val="24"/>
          <w:u w:val="dotted"/>
        </w:rPr>
        <w:t xml:space="preserve">     </w:t>
      </w:r>
      <w:r w:rsidRPr="00743ADB">
        <w:rPr>
          <w:rStyle w:val="Kiemels"/>
          <w:rFonts w:ascii="Times New Roman" w:hAnsi="Times New Roman" w:cs="Times New Roman"/>
          <w:b w:val="0"/>
          <w:i w:val="0"/>
          <w:sz w:val="24"/>
          <w:szCs w:val="24"/>
        </w:rPr>
        <w:t>25. olda</w:t>
      </w:r>
      <w:r w:rsidR="00222138">
        <w:rPr>
          <w:rStyle w:val="Kiemels"/>
          <w:rFonts w:ascii="Times New Roman" w:hAnsi="Times New Roman" w:cs="Times New Roman"/>
          <w:b w:val="0"/>
          <w:i w:val="0"/>
          <w:sz w:val="24"/>
          <w:szCs w:val="24"/>
        </w:rPr>
        <w:t>l</w:t>
      </w:r>
      <w:r w:rsidR="00222138">
        <w:rPr>
          <w:rStyle w:val="Kiemels"/>
          <w:rFonts w:ascii="Times New Roman" w:hAnsi="Times New Roman" w:cs="Times New Roman"/>
          <w:b w:val="0"/>
          <w:i w:val="0"/>
          <w:sz w:val="24"/>
          <w:szCs w:val="24"/>
        </w:rPr>
        <w:br/>
      </w:r>
      <w:r w:rsidR="00BF1E2F">
        <w:rPr>
          <w:rStyle w:val="Kiemels"/>
          <w:rFonts w:ascii="Times New Roman" w:hAnsi="Times New Roman" w:cs="Times New Roman"/>
          <w:b w:val="0"/>
          <w:i w:val="0"/>
          <w:sz w:val="24"/>
          <w:szCs w:val="24"/>
        </w:rPr>
        <w:t>4</w:t>
      </w:r>
      <w:r w:rsidRPr="00743ADB">
        <w:rPr>
          <w:rStyle w:val="Kiemels"/>
          <w:rFonts w:ascii="Times New Roman" w:hAnsi="Times New Roman" w:cs="Times New Roman"/>
          <w:b w:val="0"/>
          <w:i w:val="0"/>
          <w:sz w:val="24"/>
          <w:szCs w:val="24"/>
        </w:rPr>
        <w:t xml:space="preserve">. Ábra: a német környezetvédelmi adók %-os megoszlása </w:t>
      </w:r>
      <w:r w:rsidR="00222138" w:rsidRPr="00222138">
        <w:rPr>
          <w:rStyle w:val="Kiemels"/>
          <w:rFonts w:ascii="Times New Roman" w:hAnsi="Times New Roman" w:cs="Times New Roman"/>
          <w:b w:val="0"/>
          <w:i w:val="0"/>
          <w:sz w:val="24"/>
          <w:szCs w:val="24"/>
          <w:u w:val="dotted"/>
        </w:rPr>
        <w:tab/>
      </w:r>
      <w:r w:rsidR="00222138" w:rsidRPr="00222138">
        <w:rPr>
          <w:rStyle w:val="Kiemels"/>
          <w:rFonts w:ascii="Times New Roman" w:hAnsi="Times New Roman" w:cs="Times New Roman"/>
          <w:b w:val="0"/>
          <w:i w:val="0"/>
          <w:sz w:val="24"/>
          <w:szCs w:val="24"/>
          <w:u w:val="dotted"/>
        </w:rPr>
        <w:tab/>
      </w:r>
      <w:r w:rsidR="00222138" w:rsidRPr="00222138">
        <w:rPr>
          <w:rStyle w:val="Kiemels"/>
          <w:rFonts w:ascii="Times New Roman" w:hAnsi="Times New Roman" w:cs="Times New Roman"/>
          <w:b w:val="0"/>
          <w:i w:val="0"/>
          <w:sz w:val="24"/>
          <w:szCs w:val="24"/>
          <w:u w:val="dotted"/>
        </w:rPr>
        <w:tab/>
      </w:r>
      <w:r w:rsidR="00222138">
        <w:rPr>
          <w:rStyle w:val="Kiemels"/>
          <w:rFonts w:ascii="Times New Roman" w:hAnsi="Times New Roman" w:cs="Times New Roman"/>
          <w:b w:val="0"/>
          <w:i w:val="0"/>
          <w:sz w:val="24"/>
          <w:szCs w:val="24"/>
          <w:u w:val="dotted"/>
        </w:rPr>
        <w:t xml:space="preserve">     </w:t>
      </w:r>
      <w:r w:rsidR="00222138">
        <w:rPr>
          <w:rStyle w:val="Kiemels"/>
          <w:rFonts w:ascii="Times New Roman" w:hAnsi="Times New Roman" w:cs="Times New Roman"/>
          <w:b w:val="0"/>
          <w:i w:val="0"/>
          <w:sz w:val="24"/>
          <w:szCs w:val="24"/>
        </w:rPr>
        <w:t>28. oldal</w:t>
      </w:r>
      <w:r w:rsidR="00222138">
        <w:rPr>
          <w:rStyle w:val="Kiemels"/>
          <w:rFonts w:ascii="Times New Roman" w:hAnsi="Times New Roman" w:cs="Times New Roman"/>
          <w:b w:val="0"/>
          <w:i w:val="0"/>
          <w:sz w:val="24"/>
          <w:szCs w:val="24"/>
        </w:rPr>
        <w:br/>
      </w:r>
      <w:r w:rsidR="00BF1E2F">
        <w:rPr>
          <w:rStyle w:val="Kiemels"/>
          <w:rFonts w:ascii="Times New Roman" w:hAnsi="Times New Roman" w:cs="Times New Roman"/>
          <w:b w:val="0"/>
          <w:i w:val="0"/>
          <w:sz w:val="24"/>
          <w:szCs w:val="24"/>
        </w:rPr>
        <w:t>5</w:t>
      </w:r>
      <w:r w:rsidRPr="00743ADB">
        <w:rPr>
          <w:rStyle w:val="Kiemels"/>
          <w:rFonts w:ascii="Times New Roman" w:hAnsi="Times New Roman" w:cs="Times New Roman"/>
          <w:b w:val="0"/>
          <w:i w:val="0"/>
          <w:sz w:val="24"/>
          <w:szCs w:val="24"/>
        </w:rPr>
        <w:t xml:space="preserve">. Ábra: Az angol </w:t>
      </w:r>
      <w:r w:rsidR="00222138">
        <w:rPr>
          <w:rStyle w:val="Kiemels"/>
          <w:rFonts w:ascii="Times New Roman" w:hAnsi="Times New Roman" w:cs="Times New Roman"/>
          <w:b w:val="0"/>
          <w:i w:val="0"/>
          <w:sz w:val="24"/>
          <w:szCs w:val="24"/>
        </w:rPr>
        <w:t>környezetvédelmi adók és az energiaadók rendszere</w:t>
      </w:r>
      <w:r w:rsidR="00222138" w:rsidRPr="00675C6D">
        <w:rPr>
          <w:rStyle w:val="Kiemels"/>
          <w:rFonts w:ascii="Times New Roman" w:hAnsi="Times New Roman" w:cs="Times New Roman"/>
          <w:b w:val="0"/>
          <w:i w:val="0"/>
          <w:sz w:val="24"/>
          <w:szCs w:val="24"/>
          <w:u w:val="dotted"/>
        </w:rPr>
        <w:tab/>
      </w:r>
      <w:r w:rsidR="00675C6D">
        <w:rPr>
          <w:rStyle w:val="Kiemels"/>
          <w:rFonts w:ascii="Times New Roman" w:hAnsi="Times New Roman" w:cs="Times New Roman"/>
          <w:b w:val="0"/>
          <w:i w:val="0"/>
          <w:sz w:val="24"/>
          <w:szCs w:val="24"/>
          <w:u w:val="dotted"/>
        </w:rPr>
        <w:t xml:space="preserve">     </w:t>
      </w:r>
      <w:r w:rsidR="002A5FB5">
        <w:rPr>
          <w:rStyle w:val="Kiemels"/>
          <w:rFonts w:ascii="Times New Roman" w:hAnsi="Times New Roman" w:cs="Times New Roman"/>
          <w:b w:val="0"/>
          <w:i w:val="0"/>
          <w:sz w:val="24"/>
          <w:szCs w:val="24"/>
        </w:rPr>
        <w:t>30</w:t>
      </w:r>
      <w:r w:rsidRPr="00743ADB">
        <w:rPr>
          <w:rStyle w:val="Kiemels"/>
          <w:rFonts w:ascii="Times New Roman" w:hAnsi="Times New Roman" w:cs="Times New Roman"/>
          <w:b w:val="0"/>
          <w:i w:val="0"/>
          <w:sz w:val="24"/>
          <w:szCs w:val="24"/>
        </w:rPr>
        <w:t>.</w:t>
      </w:r>
      <w:r w:rsidR="00743ADB">
        <w:rPr>
          <w:rStyle w:val="Kiemels"/>
          <w:rFonts w:ascii="Times New Roman" w:hAnsi="Times New Roman" w:cs="Times New Roman"/>
          <w:b w:val="0"/>
          <w:i w:val="0"/>
          <w:sz w:val="24"/>
          <w:szCs w:val="24"/>
        </w:rPr>
        <w:t xml:space="preserve"> </w:t>
      </w:r>
      <w:r w:rsidRPr="00743ADB">
        <w:rPr>
          <w:rStyle w:val="Kiemels"/>
          <w:rFonts w:ascii="Times New Roman" w:hAnsi="Times New Roman" w:cs="Times New Roman"/>
          <w:b w:val="0"/>
          <w:i w:val="0"/>
          <w:sz w:val="24"/>
          <w:szCs w:val="24"/>
        </w:rPr>
        <w:t>oldal</w:t>
      </w:r>
      <w:r w:rsidRPr="00743ADB">
        <w:rPr>
          <w:rStyle w:val="Kiemels"/>
          <w:rFonts w:ascii="Times New Roman" w:hAnsi="Times New Roman" w:cs="Times New Roman"/>
          <w:b w:val="0"/>
          <w:i w:val="0"/>
          <w:sz w:val="24"/>
          <w:szCs w:val="24"/>
        </w:rPr>
        <w:br/>
      </w:r>
      <w:r w:rsidR="00BF1E2F">
        <w:rPr>
          <w:rStyle w:val="Kiemels"/>
          <w:rFonts w:ascii="Times New Roman" w:hAnsi="Times New Roman" w:cs="Times New Roman"/>
          <w:b w:val="0"/>
          <w:i w:val="0"/>
          <w:sz w:val="24"/>
          <w:szCs w:val="24"/>
        </w:rPr>
        <w:t>6</w:t>
      </w:r>
      <w:r w:rsidR="00743ADB">
        <w:rPr>
          <w:rStyle w:val="Kiemels"/>
          <w:rFonts w:ascii="Times New Roman" w:hAnsi="Times New Roman" w:cs="Times New Roman"/>
          <w:b w:val="0"/>
          <w:i w:val="0"/>
          <w:sz w:val="24"/>
          <w:szCs w:val="24"/>
        </w:rPr>
        <w:t>. Ábra:</w:t>
      </w:r>
      <w:r w:rsidRPr="00743ADB">
        <w:rPr>
          <w:rStyle w:val="Kiemels"/>
          <w:rFonts w:ascii="Times New Roman" w:hAnsi="Times New Roman" w:cs="Times New Roman"/>
          <w:b w:val="0"/>
          <w:i w:val="0"/>
          <w:sz w:val="24"/>
          <w:szCs w:val="24"/>
        </w:rPr>
        <w:t xml:space="preserve"> A környezetvédelmi adóbe</w:t>
      </w:r>
      <w:r w:rsidR="00222138">
        <w:rPr>
          <w:rStyle w:val="Kiemels"/>
          <w:rFonts w:ascii="Times New Roman" w:hAnsi="Times New Roman" w:cs="Times New Roman"/>
          <w:b w:val="0"/>
          <w:i w:val="0"/>
          <w:sz w:val="24"/>
          <w:szCs w:val="24"/>
        </w:rPr>
        <w:t>vételek megoszlása</w:t>
      </w:r>
      <w:r w:rsidR="00222138" w:rsidRPr="00675C6D">
        <w:rPr>
          <w:rStyle w:val="Kiemels"/>
          <w:rFonts w:ascii="Times New Roman" w:hAnsi="Times New Roman" w:cs="Times New Roman"/>
          <w:b w:val="0"/>
          <w:i w:val="0"/>
          <w:sz w:val="24"/>
          <w:szCs w:val="24"/>
          <w:u w:val="dotted"/>
        </w:rPr>
        <w:tab/>
      </w:r>
      <w:r w:rsidR="00222138" w:rsidRPr="00675C6D">
        <w:rPr>
          <w:rStyle w:val="Kiemels"/>
          <w:rFonts w:ascii="Times New Roman" w:hAnsi="Times New Roman" w:cs="Times New Roman"/>
          <w:b w:val="0"/>
          <w:i w:val="0"/>
          <w:sz w:val="24"/>
          <w:szCs w:val="24"/>
          <w:u w:val="dotted"/>
        </w:rPr>
        <w:tab/>
      </w:r>
      <w:r w:rsidR="00222138" w:rsidRPr="00675C6D">
        <w:rPr>
          <w:rStyle w:val="Kiemels"/>
          <w:rFonts w:ascii="Times New Roman" w:hAnsi="Times New Roman" w:cs="Times New Roman"/>
          <w:b w:val="0"/>
          <w:i w:val="0"/>
          <w:sz w:val="24"/>
          <w:szCs w:val="24"/>
          <w:u w:val="dotted"/>
        </w:rPr>
        <w:tab/>
      </w:r>
      <w:r w:rsidR="00675C6D">
        <w:rPr>
          <w:rStyle w:val="Kiemels"/>
          <w:rFonts w:ascii="Times New Roman" w:hAnsi="Times New Roman" w:cs="Times New Roman"/>
          <w:b w:val="0"/>
          <w:i w:val="0"/>
          <w:sz w:val="24"/>
          <w:szCs w:val="24"/>
          <w:u w:val="dotted"/>
        </w:rPr>
        <w:t xml:space="preserve">     </w:t>
      </w:r>
      <w:r w:rsidR="00222138">
        <w:rPr>
          <w:rStyle w:val="Kiemels"/>
          <w:rFonts w:ascii="Times New Roman" w:hAnsi="Times New Roman" w:cs="Times New Roman"/>
          <w:b w:val="0"/>
          <w:i w:val="0"/>
          <w:sz w:val="24"/>
          <w:szCs w:val="24"/>
        </w:rPr>
        <w:t>3</w:t>
      </w:r>
      <w:r w:rsidR="002A5FB5">
        <w:rPr>
          <w:rStyle w:val="Kiemels"/>
          <w:rFonts w:ascii="Times New Roman" w:hAnsi="Times New Roman" w:cs="Times New Roman"/>
          <w:b w:val="0"/>
          <w:i w:val="0"/>
          <w:sz w:val="24"/>
          <w:szCs w:val="24"/>
        </w:rPr>
        <w:t>3</w:t>
      </w:r>
      <w:r w:rsidR="00222138">
        <w:rPr>
          <w:rStyle w:val="Kiemels"/>
          <w:rFonts w:ascii="Times New Roman" w:hAnsi="Times New Roman" w:cs="Times New Roman"/>
          <w:b w:val="0"/>
          <w:i w:val="0"/>
          <w:sz w:val="24"/>
          <w:szCs w:val="24"/>
        </w:rPr>
        <w:t>. oldal</w:t>
      </w:r>
      <w:r w:rsidR="00222138">
        <w:rPr>
          <w:rStyle w:val="Kiemels"/>
          <w:rFonts w:ascii="Times New Roman" w:hAnsi="Times New Roman" w:cs="Times New Roman"/>
          <w:b w:val="0"/>
          <w:i w:val="0"/>
          <w:sz w:val="24"/>
          <w:szCs w:val="24"/>
        </w:rPr>
        <w:br/>
      </w:r>
      <w:r w:rsidR="00BF1E2F">
        <w:rPr>
          <w:rStyle w:val="Kiemels"/>
          <w:rFonts w:ascii="Times New Roman" w:hAnsi="Times New Roman" w:cs="Times New Roman"/>
          <w:b w:val="0"/>
          <w:i w:val="0"/>
          <w:sz w:val="24"/>
          <w:szCs w:val="24"/>
        </w:rPr>
        <w:t>7</w:t>
      </w:r>
      <w:r w:rsidRPr="00743ADB">
        <w:rPr>
          <w:rStyle w:val="Kiemels"/>
          <w:rFonts w:ascii="Times New Roman" w:hAnsi="Times New Roman" w:cs="Times New Roman"/>
          <w:b w:val="0"/>
          <w:i w:val="0"/>
          <w:sz w:val="24"/>
          <w:szCs w:val="24"/>
        </w:rPr>
        <w:t>. Ábra: A magy</w:t>
      </w:r>
      <w:r w:rsidR="00222138">
        <w:rPr>
          <w:rStyle w:val="Kiemels"/>
          <w:rFonts w:ascii="Times New Roman" w:hAnsi="Times New Roman" w:cs="Times New Roman"/>
          <w:b w:val="0"/>
          <w:i w:val="0"/>
          <w:sz w:val="24"/>
          <w:szCs w:val="24"/>
        </w:rPr>
        <w:t>ar környezetvédelmi adórendszer</w:t>
      </w:r>
      <w:r w:rsidR="00222138" w:rsidRPr="00675C6D">
        <w:rPr>
          <w:rStyle w:val="Kiemels"/>
          <w:rFonts w:ascii="Times New Roman" w:hAnsi="Times New Roman" w:cs="Times New Roman"/>
          <w:b w:val="0"/>
          <w:i w:val="0"/>
          <w:sz w:val="24"/>
          <w:szCs w:val="24"/>
          <w:u w:val="dotted"/>
        </w:rPr>
        <w:tab/>
      </w:r>
      <w:r w:rsidR="00222138" w:rsidRPr="00675C6D">
        <w:rPr>
          <w:rStyle w:val="Kiemels"/>
          <w:rFonts w:ascii="Times New Roman" w:hAnsi="Times New Roman" w:cs="Times New Roman"/>
          <w:b w:val="0"/>
          <w:i w:val="0"/>
          <w:sz w:val="24"/>
          <w:szCs w:val="24"/>
          <w:u w:val="dotted"/>
        </w:rPr>
        <w:tab/>
      </w:r>
      <w:r w:rsidR="00222138" w:rsidRPr="00675C6D">
        <w:rPr>
          <w:rStyle w:val="Kiemels"/>
          <w:rFonts w:ascii="Times New Roman" w:hAnsi="Times New Roman" w:cs="Times New Roman"/>
          <w:b w:val="0"/>
          <w:i w:val="0"/>
          <w:sz w:val="24"/>
          <w:szCs w:val="24"/>
          <w:u w:val="dotted"/>
        </w:rPr>
        <w:tab/>
      </w:r>
      <w:r w:rsidR="00222138" w:rsidRPr="00675C6D">
        <w:rPr>
          <w:rStyle w:val="Kiemels"/>
          <w:rFonts w:ascii="Times New Roman" w:hAnsi="Times New Roman" w:cs="Times New Roman"/>
          <w:b w:val="0"/>
          <w:i w:val="0"/>
          <w:sz w:val="24"/>
          <w:szCs w:val="24"/>
          <w:u w:val="dotted"/>
        </w:rPr>
        <w:tab/>
      </w:r>
      <w:r w:rsidR="00675C6D">
        <w:rPr>
          <w:rStyle w:val="Kiemels"/>
          <w:rFonts w:ascii="Times New Roman" w:hAnsi="Times New Roman" w:cs="Times New Roman"/>
          <w:b w:val="0"/>
          <w:i w:val="0"/>
          <w:sz w:val="24"/>
          <w:szCs w:val="24"/>
          <w:u w:val="dotted"/>
        </w:rPr>
        <w:t xml:space="preserve">     </w:t>
      </w:r>
      <w:r w:rsidR="00743ADB">
        <w:rPr>
          <w:rStyle w:val="Kiemels"/>
          <w:rFonts w:ascii="Times New Roman" w:hAnsi="Times New Roman" w:cs="Times New Roman"/>
          <w:b w:val="0"/>
          <w:i w:val="0"/>
          <w:sz w:val="24"/>
          <w:szCs w:val="24"/>
        </w:rPr>
        <w:t>3</w:t>
      </w:r>
      <w:r w:rsidR="002A5FB5">
        <w:rPr>
          <w:rStyle w:val="Kiemels"/>
          <w:rFonts w:ascii="Times New Roman" w:hAnsi="Times New Roman" w:cs="Times New Roman"/>
          <w:b w:val="0"/>
          <w:i w:val="0"/>
          <w:sz w:val="24"/>
          <w:szCs w:val="24"/>
        </w:rPr>
        <w:t>5</w:t>
      </w:r>
      <w:r w:rsidR="00743ADB">
        <w:rPr>
          <w:rStyle w:val="Kiemels"/>
          <w:rFonts w:ascii="Times New Roman" w:hAnsi="Times New Roman" w:cs="Times New Roman"/>
          <w:b w:val="0"/>
          <w:i w:val="0"/>
          <w:sz w:val="24"/>
          <w:szCs w:val="24"/>
        </w:rPr>
        <w:t>. oldal</w:t>
      </w:r>
      <w:r w:rsidR="00BF1E2F">
        <w:rPr>
          <w:rStyle w:val="Kiemels"/>
          <w:rFonts w:ascii="Times New Roman" w:hAnsi="Times New Roman" w:cs="Times New Roman"/>
          <w:b w:val="0"/>
          <w:i w:val="0"/>
          <w:sz w:val="24"/>
          <w:szCs w:val="24"/>
        </w:rPr>
        <w:br/>
        <w:t>8</w:t>
      </w:r>
      <w:r w:rsidRPr="00743ADB">
        <w:rPr>
          <w:rStyle w:val="Kiemels"/>
          <w:rFonts w:ascii="Times New Roman" w:hAnsi="Times New Roman" w:cs="Times New Roman"/>
          <w:b w:val="0"/>
          <w:i w:val="0"/>
          <w:sz w:val="24"/>
          <w:szCs w:val="24"/>
        </w:rPr>
        <w:t>. Ábra: A magyarországi környezetvédelmi adóbevételek 2009-ben</w:t>
      </w:r>
      <w:r w:rsidR="00222138" w:rsidRPr="00675C6D">
        <w:rPr>
          <w:rStyle w:val="Kiemels"/>
          <w:rFonts w:ascii="Times New Roman" w:hAnsi="Times New Roman" w:cs="Times New Roman"/>
          <w:b w:val="0"/>
          <w:i w:val="0"/>
          <w:sz w:val="24"/>
          <w:szCs w:val="24"/>
          <w:u w:val="dotted"/>
        </w:rPr>
        <w:tab/>
      </w:r>
      <w:r w:rsidR="00675C6D">
        <w:rPr>
          <w:rStyle w:val="Kiemels"/>
          <w:rFonts w:ascii="Times New Roman" w:hAnsi="Times New Roman" w:cs="Times New Roman"/>
          <w:b w:val="0"/>
          <w:i w:val="0"/>
          <w:sz w:val="24"/>
          <w:szCs w:val="24"/>
          <w:u w:val="dotted"/>
        </w:rPr>
        <w:t xml:space="preserve">     </w:t>
      </w:r>
      <w:r w:rsidR="00675C6D">
        <w:rPr>
          <w:rStyle w:val="Kiemels"/>
          <w:rFonts w:ascii="Times New Roman" w:hAnsi="Times New Roman" w:cs="Times New Roman"/>
          <w:b w:val="0"/>
          <w:i w:val="0"/>
          <w:sz w:val="24"/>
          <w:szCs w:val="24"/>
        </w:rPr>
        <w:t>38. oldal</w:t>
      </w:r>
      <w:r w:rsidR="00675C6D">
        <w:rPr>
          <w:rStyle w:val="Kiemels"/>
          <w:rFonts w:ascii="Times New Roman" w:hAnsi="Times New Roman" w:cs="Times New Roman"/>
          <w:b w:val="0"/>
          <w:i w:val="0"/>
          <w:sz w:val="24"/>
          <w:szCs w:val="24"/>
        </w:rPr>
        <w:br/>
      </w:r>
      <w:r w:rsidRPr="00743ADB">
        <w:rPr>
          <w:rStyle w:val="Kiemels"/>
          <w:rFonts w:ascii="Times New Roman" w:hAnsi="Times New Roman" w:cs="Times New Roman"/>
          <w:b w:val="0"/>
          <w:i w:val="0"/>
          <w:sz w:val="24"/>
          <w:szCs w:val="24"/>
        </w:rPr>
        <w:br/>
      </w:r>
    </w:p>
    <w:sectPr w:rsidR="002956E6" w:rsidRPr="00743ADB" w:rsidSect="0069191A">
      <w:footerReference w:type="default" r:id="rId7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7C43" w:rsidRDefault="00377C43" w:rsidP="005A1284">
      <w:pPr>
        <w:spacing w:after="0" w:line="240" w:lineRule="auto"/>
      </w:pPr>
      <w:r>
        <w:separator/>
      </w:r>
    </w:p>
  </w:endnote>
  <w:endnote w:type="continuationSeparator" w:id="0">
    <w:p w:rsidR="00377C43" w:rsidRDefault="00377C43" w:rsidP="005A12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11899"/>
      <w:docPartObj>
        <w:docPartGallery w:val="Page Numbers (Bottom of Page)"/>
        <w:docPartUnique/>
      </w:docPartObj>
    </w:sdtPr>
    <w:sdtEndPr/>
    <w:sdtContent>
      <w:p w:rsidR="00812916" w:rsidRDefault="00377C43">
        <w:pPr>
          <w:pStyle w:val="llb"/>
          <w:jc w:val="center"/>
        </w:pPr>
        <w:r>
          <w:fldChar w:fldCharType="begin"/>
        </w:r>
        <w:r>
          <w:instrText xml:space="preserve"> PAGE   \* MERGEFORMAT </w:instrText>
        </w:r>
        <w:r>
          <w:fldChar w:fldCharType="separate"/>
        </w:r>
        <w:r w:rsidR="00066BF5">
          <w:rPr>
            <w:noProof/>
          </w:rPr>
          <w:t>5</w:t>
        </w:r>
        <w:r>
          <w:rPr>
            <w:noProof/>
          </w:rPr>
          <w:fldChar w:fldCharType="end"/>
        </w:r>
      </w:p>
    </w:sdtContent>
  </w:sdt>
  <w:p w:rsidR="00812916" w:rsidRDefault="00812916">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7C43" w:rsidRDefault="00377C43" w:rsidP="005A1284">
      <w:pPr>
        <w:spacing w:after="0" w:line="240" w:lineRule="auto"/>
      </w:pPr>
      <w:r>
        <w:separator/>
      </w:r>
    </w:p>
  </w:footnote>
  <w:footnote w:type="continuationSeparator" w:id="0">
    <w:p w:rsidR="00377C43" w:rsidRDefault="00377C43" w:rsidP="005A1284">
      <w:pPr>
        <w:spacing w:after="0" w:line="240" w:lineRule="auto"/>
      </w:pPr>
      <w:r>
        <w:continuationSeparator/>
      </w:r>
    </w:p>
  </w:footnote>
  <w:footnote w:id="1">
    <w:p w:rsidR="00873D0E" w:rsidRPr="00873D0E" w:rsidRDefault="00873D0E">
      <w:pPr>
        <w:pStyle w:val="Lbjegyzetszveg"/>
      </w:pPr>
      <w:r w:rsidRPr="00873D0E">
        <w:rPr>
          <w:rStyle w:val="Lbjegyzet-hivatkozs"/>
        </w:rPr>
        <w:sym w:font="Symbol" w:char="F02A"/>
      </w:r>
      <w:r>
        <w:t xml:space="preserve"> </w:t>
      </w:r>
      <w:r w:rsidRPr="00873D0E">
        <w:rPr>
          <w:rFonts w:ascii="Times New Roman" w:hAnsi="Times New Roman" w:cs="Times New Roman"/>
          <w:color w:val="000000"/>
        </w:rPr>
        <w:t>A bemutatott kutató munka a TÁMOP-4.2.1.B-10/2/KONV-2010-0001 jelű projekt részeként az Európai Unió támogatásával, az Európai Szociális Alap társfinanszírozásával valósul meg.</w:t>
      </w:r>
    </w:p>
  </w:footnote>
  <w:footnote w:id="2">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KEREKES Sándor (1998.): A környezetgazdaságtan alapj</w:t>
      </w:r>
      <w:r w:rsidR="00873D0E">
        <w:rPr>
          <w:rFonts w:ascii="Times New Roman" w:hAnsi="Times New Roman" w:cs="Times New Roman"/>
        </w:rPr>
        <w:t>ai. Budapest,94.p;</w:t>
      </w:r>
      <w:r w:rsidRPr="00D36BD1">
        <w:rPr>
          <w:rFonts w:ascii="Times New Roman" w:hAnsi="Times New Roman" w:cs="Times New Roman"/>
        </w:rPr>
        <w:t>forrás (2012.08.30.):</w:t>
      </w:r>
      <w:hyperlink r:id="rId1" w:history="1">
        <w:r w:rsidRPr="008E3FD6">
          <w:rPr>
            <w:rStyle w:val="Hiperhivatkozs"/>
            <w:rFonts w:ascii="Times New Roman" w:hAnsi="Times New Roman" w:cs="Times New Roman"/>
          </w:rPr>
          <w:t>http://mek.oszk.hu</w:t>
        </w:r>
      </w:hyperlink>
    </w:p>
  </w:footnote>
  <w:footnote w:id="3">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Hiszen az energiaadó és egyéb adó-jellegű bevétel, mint a díj, illeték, járulék közvetett környezetpolitikai eszközöknek minősülnek.</w:t>
      </w:r>
    </w:p>
  </w:footnote>
  <w:footnote w:id="4">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lang w:val="en-GB"/>
        </w:rPr>
        <w:t>OECD (2001): Environmentally related taxes: Issues and Strategies</w:t>
      </w:r>
      <w:r w:rsidRPr="00D36BD1">
        <w:rPr>
          <w:rFonts w:ascii="Times New Roman" w:hAnsi="Times New Roman" w:cs="Times New Roman"/>
        </w:rPr>
        <w:t>. Párizs, OECD;forrás (2012.08.10.):</w:t>
      </w:r>
      <w:hyperlink r:id="rId2" w:history="1">
        <w:r w:rsidRPr="008E3FD6">
          <w:rPr>
            <w:rStyle w:val="Hiperhivatkozs"/>
            <w:rFonts w:ascii="Times New Roman" w:hAnsi="Times New Roman" w:cs="Times New Roman"/>
          </w:rPr>
          <w:t>www.oecd.org</w:t>
        </w:r>
      </w:hyperlink>
    </w:p>
  </w:footnote>
  <w:footnote w:id="5">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HERICH</w:t>
      </w:r>
      <w:r w:rsidRPr="00D36BD1">
        <w:rPr>
          <w:rFonts w:ascii="Times New Roman" w:hAnsi="Times New Roman" w:cs="Times New Roman"/>
          <w:b/>
        </w:rPr>
        <w:t xml:space="preserve"> </w:t>
      </w:r>
      <w:r w:rsidRPr="00D36BD1">
        <w:rPr>
          <w:rFonts w:ascii="Times New Roman" w:hAnsi="Times New Roman" w:cs="Times New Roman"/>
        </w:rPr>
        <w:t>György (2</w:t>
      </w:r>
      <w:r w:rsidR="00873D0E">
        <w:rPr>
          <w:rFonts w:ascii="Times New Roman" w:hAnsi="Times New Roman" w:cs="Times New Roman"/>
        </w:rPr>
        <w:t>011): Adótan, Pécs, Penta Unió,245.</w:t>
      </w:r>
      <w:r w:rsidRPr="00D36BD1">
        <w:rPr>
          <w:rFonts w:ascii="Times New Roman" w:hAnsi="Times New Roman" w:cs="Times New Roman"/>
        </w:rPr>
        <w:t>p.</w:t>
      </w:r>
    </w:p>
  </w:footnote>
  <w:footnote w:id="6">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Ez összhangban van a fenntartható fejlődés alapkövetelményével, amely az Európa 2020 stratégiában is kiemelt szerepet kapott. Forrás (2012.08.13.):</w:t>
      </w:r>
      <w:hyperlink r:id="rId3" w:history="1">
        <w:r w:rsidRPr="00D36BD1">
          <w:rPr>
            <w:rStyle w:val="Hiperhivatkozs"/>
            <w:rFonts w:ascii="Times New Roman" w:hAnsi="Times New Roman" w:cs="Times New Roman"/>
          </w:rPr>
          <w:t>http://ec.europa.eu/europe2020/priorities/sustainable-growth/index_en.htm</w:t>
        </w:r>
      </w:hyperlink>
    </w:p>
  </w:footnote>
  <w:footnote w:id="7">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KEREKES (1998): </w:t>
      </w:r>
      <w:r w:rsidRPr="00D36BD1">
        <w:rPr>
          <w:rFonts w:ascii="Times New Roman" w:hAnsi="Times New Roman" w:cs="Times New Roman"/>
          <w:i/>
        </w:rPr>
        <w:t>op.cit</w:t>
      </w:r>
      <w:r w:rsidR="00873D0E">
        <w:rPr>
          <w:rFonts w:ascii="Times New Roman" w:hAnsi="Times New Roman" w:cs="Times New Roman"/>
        </w:rPr>
        <w:t>.94.</w:t>
      </w:r>
      <w:r w:rsidRPr="00D36BD1">
        <w:rPr>
          <w:rFonts w:ascii="Times New Roman" w:hAnsi="Times New Roman" w:cs="Times New Roman"/>
        </w:rPr>
        <w:t>p. szerint 10 ilyen követelményt különböztethetünk meg. Ezek a követelmények megjelennek továbbá DR. SZALAY Zoltán (1998): Környezetpolitika. Győr; forrás (2012.08.14.):</w:t>
      </w:r>
      <w:hyperlink r:id="rId4" w:history="1">
        <w:r w:rsidRPr="008E3FD6">
          <w:rPr>
            <w:rStyle w:val="Hiperhivatkozs"/>
            <w:rFonts w:ascii="Times New Roman" w:hAnsi="Times New Roman" w:cs="Times New Roman"/>
          </w:rPr>
          <w:t>http://gyorijegyzet.uw.hu</w:t>
        </w:r>
      </w:hyperlink>
    </w:p>
  </w:footnote>
  <w:footnote w:id="8">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HERICH</w:t>
      </w:r>
      <w:r w:rsidRPr="00D36BD1">
        <w:rPr>
          <w:rFonts w:ascii="Times New Roman" w:hAnsi="Times New Roman" w:cs="Times New Roman"/>
          <w:b/>
        </w:rPr>
        <w:t xml:space="preserve"> </w:t>
      </w:r>
      <w:r w:rsidRPr="00D36BD1">
        <w:rPr>
          <w:rFonts w:ascii="Times New Roman" w:hAnsi="Times New Roman" w:cs="Times New Roman"/>
        </w:rPr>
        <w:t>György (szerk.): Nemzetközi adózás – adózás az Európai Unióban, II. átdolgozott kiadás</w:t>
      </w:r>
      <w:r w:rsidR="00873D0E">
        <w:rPr>
          <w:rFonts w:ascii="Times New Roman" w:hAnsi="Times New Roman" w:cs="Times New Roman"/>
        </w:rPr>
        <w:t>, Pécs, Penta Unió, 2006., 483.</w:t>
      </w:r>
      <w:r w:rsidRPr="00D36BD1">
        <w:rPr>
          <w:rFonts w:ascii="Times New Roman" w:hAnsi="Times New Roman" w:cs="Times New Roman"/>
        </w:rPr>
        <w:t>p.</w:t>
      </w:r>
    </w:p>
  </w:footnote>
  <w:footnote w:id="9">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Hiszen drága, magas adminisztrációs és végrehajtási költségek jellemzik, elégtelen az ösztönző hatása és a korszerű technológiák eltitkolására ösztönöz. Lásd részletesen: DR. HERICH (2006): </w:t>
      </w:r>
      <w:r w:rsidRPr="00D36BD1">
        <w:rPr>
          <w:rFonts w:ascii="Times New Roman" w:hAnsi="Times New Roman" w:cs="Times New Roman"/>
          <w:i/>
        </w:rPr>
        <w:t>op.cit.</w:t>
      </w:r>
      <w:r w:rsidRPr="00D36BD1">
        <w:rPr>
          <w:rFonts w:ascii="Times New Roman" w:hAnsi="Times New Roman" w:cs="Times New Roman"/>
        </w:rPr>
        <w:t>482.p.</w:t>
      </w:r>
    </w:p>
  </w:footnote>
  <w:footnote w:id="10">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 (1) adók, (2) önkéntes megállapodások (kötelező erejű magatartási kódexek és irányelven, választható önkéntes megállapodások), (3) forgalmazható jogok és (4) piaci önkéntes szabályozás) In: DR. HERICH (2011): </w:t>
      </w:r>
      <w:r>
        <w:rPr>
          <w:rFonts w:ascii="Times New Roman" w:hAnsi="Times New Roman" w:cs="Times New Roman"/>
        </w:rPr>
        <w:t>o</w:t>
      </w:r>
      <w:r w:rsidRPr="00D36BD1">
        <w:rPr>
          <w:rFonts w:ascii="Times New Roman" w:hAnsi="Times New Roman" w:cs="Times New Roman"/>
          <w:i/>
        </w:rPr>
        <w:t>p. cit.</w:t>
      </w:r>
      <w:r w:rsidRPr="00D36BD1">
        <w:rPr>
          <w:rFonts w:ascii="Times New Roman" w:hAnsi="Times New Roman" w:cs="Times New Roman"/>
        </w:rPr>
        <w:t>245.p.</w:t>
      </w:r>
    </w:p>
  </w:footnote>
  <w:footnote w:id="11">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Pr>
          <w:rFonts w:ascii="Times New Roman" w:hAnsi="Times New Roman" w:cs="Times New Roman"/>
        </w:rPr>
        <w:t xml:space="preserve">GALÁNTAINÉ Máté </w:t>
      </w:r>
      <w:r w:rsidRPr="00D36BD1">
        <w:rPr>
          <w:rFonts w:ascii="Times New Roman" w:hAnsi="Times New Roman" w:cs="Times New Roman"/>
        </w:rPr>
        <w:t>Zsuzsa (2004): Adó (rendszer)tan – EU-konform magyar adók, Budapest, AULA Kiadó Kft., 258.p.</w:t>
      </w:r>
    </w:p>
  </w:footnote>
  <w:footnote w:id="12">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Ide tartozik még a környezetterhelési díj (talaj, víz, levegő) és a környezetvédelmi termékdíj. A közvetett elvonások alapvetően a bányajáradék, a vízkészletjáradék, az üzemanyagok jövedéki adója, a regisztrációs adó, vagy a környezetv</w:t>
      </w:r>
      <w:r>
        <w:rPr>
          <w:rFonts w:ascii="Times New Roman" w:hAnsi="Times New Roman" w:cs="Times New Roman"/>
        </w:rPr>
        <w:t xml:space="preserve">édelmi bírságok. In: GALÁNTAINÉ </w:t>
      </w:r>
      <w:r w:rsidRPr="00D36BD1">
        <w:rPr>
          <w:rFonts w:ascii="Times New Roman" w:hAnsi="Times New Roman" w:cs="Times New Roman"/>
        </w:rPr>
        <w:t xml:space="preserve">(2004): </w:t>
      </w:r>
      <w:r w:rsidRPr="00D36BD1">
        <w:rPr>
          <w:rFonts w:ascii="Times New Roman" w:hAnsi="Times New Roman" w:cs="Times New Roman"/>
          <w:i/>
        </w:rPr>
        <w:t>op.cit.</w:t>
      </w:r>
      <w:r w:rsidRPr="00D36BD1">
        <w:rPr>
          <w:rFonts w:ascii="Times New Roman" w:hAnsi="Times New Roman" w:cs="Times New Roman"/>
        </w:rPr>
        <w:t>258.p.</w:t>
      </w:r>
    </w:p>
  </w:footnote>
  <w:footnote w:id="13">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KEREKES (1998): </w:t>
      </w:r>
      <w:r w:rsidRPr="00D36BD1">
        <w:rPr>
          <w:rFonts w:ascii="Times New Roman" w:hAnsi="Times New Roman" w:cs="Times New Roman"/>
          <w:i/>
        </w:rPr>
        <w:t>op.cit</w:t>
      </w:r>
      <w:r w:rsidRPr="00D36BD1">
        <w:rPr>
          <w:rFonts w:ascii="Times New Roman" w:hAnsi="Times New Roman" w:cs="Times New Roman"/>
        </w:rPr>
        <w:t xml:space="preserve">.94.p. és DR. SZALAY Zoltán (1998): </w:t>
      </w:r>
      <w:r w:rsidRPr="00D36BD1">
        <w:rPr>
          <w:rFonts w:ascii="Times New Roman" w:hAnsi="Times New Roman" w:cs="Times New Roman"/>
          <w:i/>
        </w:rPr>
        <w:t>op.cit.</w:t>
      </w:r>
      <w:r w:rsidRPr="00D36BD1">
        <w:rPr>
          <w:rFonts w:ascii="Times New Roman" w:hAnsi="Times New Roman" w:cs="Times New Roman"/>
        </w:rPr>
        <w:t>27.p.</w:t>
      </w:r>
    </w:p>
  </w:footnote>
  <w:footnote w:id="14">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A terület hosszabb ismertetésére a terjedelmi korlátok miatt, és a dolgozat témája miatt nem térnék ki.</w:t>
      </w:r>
    </w:p>
  </w:footnote>
  <w:footnote w:id="15">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KEREKES (1998): </w:t>
      </w:r>
      <w:r w:rsidRPr="00D36BD1">
        <w:rPr>
          <w:rFonts w:ascii="Times New Roman" w:hAnsi="Times New Roman" w:cs="Times New Roman"/>
          <w:i/>
        </w:rPr>
        <w:t>op.cit</w:t>
      </w:r>
      <w:r w:rsidR="00873D0E">
        <w:rPr>
          <w:rFonts w:ascii="Times New Roman" w:hAnsi="Times New Roman" w:cs="Times New Roman"/>
        </w:rPr>
        <w:t>.95.</w:t>
      </w:r>
      <w:r w:rsidRPr="00D36BD1">
        <w:rPr>
          <w:rFonts w:ascii="Times New Roman" w:hAnsi="Times New Roman" w:cs="Times New Roman"/>
        </w:rPr>
        <w:t>p.</w:t>
      </w:r>
    </w:p>
  </w:footnote>
  <w:footnote w:id="16">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Ilyenek a talaj, a levegő, a víz, az élővilág.</w:t>
      </w:r>
    </w:p>
  </w:footnote>
  <w:footnote w:id="17">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Pr>
          <w:rFonts w:ascii="Times New Roman" w:hAnsi="Times New Roman" w:cs="Times New Roman"/>
        </w:rPr>
        <w:t xml:space="preserve">GALÁNTAINÉ </w:t>
      </w:r>
      <w:r w:rsidRPr="00D36BD1">
        <w:rPr>
          <w:rFonts w:ascii="Times New Roman" w:hAnsi="Times New Roman" w:cs="Times New Roman"/>
        </w:rPr>
        <w:t xml:space="preserve">(2004): </w:t>
      </w:r>
      <w:r w:rsidRPr="00D36BD1">
        <w:rPr>
          <w:rFonts w:ascii="Times New Roman" w:hAnsi="Times New Roman" w:cs="Times New Roman"/>
          <w:i/>
        </w:rPr>
        <w:t>op.cit.</w:t>
      </w:r>
      <w:r w:rsidR="00873D0E">
        <w:rPr>
          <w:rFonts w:ascii="Times New Roman" w:hAnsi="Times New Roman" w:cs="Times New Roman"/>
        </w:rPr>
        <w:t>257.</w:t>
      </w:r>
      <w:r w:rsidRPr="00D36BD1">
        <w:rPr>
          <w:rFonts w:ascii="Times New Roman" w:hAnsi="Times New Roman" w:cs="Times New Roman"/>
        </w:rPr>
        <w:t>p.</w:t>
      </w:r>
    </w:p>
  </w:footnote>
  <w:footnote w:id="18">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GALÁNTAINÉ (2004): </w:t>
      </w:r>
      <w:r w:rsidRPr="00D36BD1">
        <w:rPr>
          <w:rFonts w:ascii="Times New Roman" w:hAnsi="Times New Roman" w:cs="Times New Roman"/>
          <w:i/>
        </w:rPr>
        <w:t>op.cit.</w:t>
      </w:r>
      <w:r w:rsidR="00873D0E">
        <w:rPr>
          <w:rFonts w:ascii="Times New Roman" w:hAnsi="Times New Roman" w:cs="Times New Roman"/>
        </w:rPr>
        <w:t>257.</w:t>
      </w:r>
      <w:r w:rsidRPr="00D36BD1">
        <w:rPr>
          <w:rFonts w:ascii="Times New Roman" w:hAnsi="Times New Roman" w:cs="Times New Roman"/>
        </w:rPr>
        <w:t>p.</w:t>
      </w:r>
    </w:p>
  </w:footnote>
  <w:footnote w:id="19">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HERICH (2006): </w:t>
      </w:r>
      <w:r w:rsidRPr="00D36BD1">
        <w:rPr>
          <w:rFonts w:ascii="Times New Roman" w:hAnsi="Times New Roman" w:cs="Times New Roman"/>
          <w:i/>
        </w:rPr>
        <w:t>op.cit.</w:t>
      </w:r>
      <w:r w:rsidR="00873D0E">
        <w:rPr>
          <w:rFonts w:ascii="Times New Roman" w:hAnsi="Times New Roman" w:cs="Times New Roman"/>
        </w:rPr>
        <w:t>493.</w:t>
      </w:r>
      <w:r w:rsidRPr="00D36BD1">
        <w:rPr>
          <w:rFonts w:ascii="Times New Roman" w:hAnsi="Times New Roman" w:cs="Times New Roman"/>
        </w:rPr>
        <w:t>p.</w:t>
      </w:r>
    </w:p>
  </w:footnote>
  <w:footnote w:id="20">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Sustainable development: először a Brundtland Bizottság által kiadott Közös jövőnk című jelentésben jelent meg a kifejezés. A fejlődés egy olyan formáját jelenti, amely a jelen igényeinek kielégítése mellett nem fosztja meg a jövő generációit saját szükségleteik kielégítésének lehetőségétől. Egy közös haladást kell megvalósítani társadalmi, politikai és gazdasági szférák együttműködésével. A fogalom expressis verb</w:t>
      </w:r>
      <w:r>
        <w:rPr>
          <w:rFonts w:ascii="Times New Roman" w:hAnsi="Times New Roman" w:cs="Times New Roman"/>
        </w:rPr>
        <w:t xml:space="preserve">is az 1992-es riói konferencián nyerte el teljességét, az ún. </w:t>
      </w:r>
      <w:r w:rsidRPr="00D36BD1">
        <w:rPr>
          <w:rFonts w:ascii="Times New Roman" w:hAnsi="Times New Roman" w:cs="Times New Roman"/>
        </w:rPr>
        <w:t>Ri</w:t>
      </w:r>
      <w:r>
        <w:rPr>
          <w:rFonts w:ascii="Times New Roman" w:hAnsi="Times New Roman" w:cs="Times New Roman"/>
        </w:rPr>
        <w:t xml:space="preserve">ói Nyilatkozatban; forrás </w:t>
      </w:r>
      <w:r w:rsidRPr="00D36BD1">
        <w:rPr>
          <w:rFonts w:ascii="Times New Roman" w:hAnsi="Times New Roman" w:cs="Times New Roman"/>
        </w:rPr>
        <w:t>(2012.08.01.)</w:t>
      </w:r>
      <w:r w:rsidR="00873D0E">
        <w:rPr>
          <w:rFonts w:ascii="Times New Roman" w:hAnsi="Times New Roman" w:cs="Times New Roman"/>
        </w:rPr>
        <w:t>:</w:t>
      </w:r>
      <w:hyperlink r:id="rId5" w:history="1">
        <w:r w:rsidRPr="00D36BD1">
          <w:rPr>
            <w:rStyle w:val="Hiperhivatkozs"/>
            <w:rFonts w:ascii="Times New Roman" w:hAnsi="Times New Roman" w:cs="Times New Roman"/>
          </w:rPr>
          <w:t>http://ec.europa.eu/environment/eussd/</w:t>
        </w:r>
      </w:hyperlink>
    </w:p>
  </w:footnote>
  <w:footnote w:id="21">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1992. Rió, 1994. Aalborg, 1996. Lisszabon – Második fenntartható városok konferencia, 1997. Rió + 5 konferencia (New York), 2002. Johannesburg – Fenntartható fejlődés világkonferencia, 2012. Rió +20 konferencia;forrás (2012.08.01.):</w:t>
      </w:r>
      <w:hyperlink r:id="rId6" w:history="1">
        <w:r w:rsidRPr="00CA1492">
          <w:rPr>
            <w:rStyle w:val="Hiperhivatkozs"/>
            <w:rFonts w:ascii="Times New Roman" w:hAnsi="Times New Roman" w:cs="Times New Roman"/>
          </w:rPr>
          <w:t>www.mta.ca/faculty/socsci/geograph/genv4111/International%20laws.pdf</w:t>
        </w:r>
      </w:hyperlink>
    </w:p>
  </w:footnote>
  <w:footnote w:id="22">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Éghajlat - változási Kormányközi Testület, Nemzetközi Zöld Kereszt, Természetvédelmi Világszövetség, FAO, UNEP; forrás (2012.08.12):</w:t>
      </w:r>
      <w:hyperlink r:id="rId7" w:history="1">
        <w:r>
          <w:rPr>
            <w:rStyle w:val="Hiperhivatkozs"/>
            <w:rFonts w:ascii="Times New Roman" w:hAnsi="Times New Roman" w:cs="Times New Roman"/>
          </w:rPr>
          <w:t>.</w:t>
        </w:r>
        <w:r w:rsidRPr="00D36BD1">
          <w:rPr>
            <w:rStyle w:val="Hiperhivatkozs"/>
            <w:rFonts w:ascii="Times New Roman" w:hAnsi="Times New Roman" w:cs="Times New Roman"/>
          </w:rPr>
          <w:t>www.iedonline.net/ied_orgs.htm</w:t>
        </w:r>
      </w:hyperlink>
    </w:p>
  </w:footnote>
  <w:footnote w:id="23">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Európai Környezetvédelmi Ügynökség (European Environment Agency: EEA) megjelenése, amely 1994-től folyamatosan tevékenykedik. A környezetvédelem az 1972-es stockholmi konferencia hatására 1973-tól van jelen az EU-ban, hiszen ekkor alkotta meg az első környezetvédelmi akcióprogramját az Unió. Szakpolitikai szinten először az Egységes Európai Okmány illesztette be az EGK szerződésbe 1986-ban; forrás (2012.08.10.):</w:t>
      </w:r>
      <w:hyperlink r:id="rId8" w:history="1">
        <w:r w:rsidRPr="00CA1492">
          <w:rPr>
            <w:rStyle w:val="Hiperhivatkozs"/>
            <w:rFonts w:ascii="Times New Roman" w:hAnsi="Times New Roman" w:cs="Times New Roman"/>
          </w:rPr>
          <w:t>www.eeassoc.org/index.php?page=4</w:t>
        </w:r>
      </w:hyperlink>
    </w:p>
  </w:footnote>
  <w:footnote w:id="24">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Henrik HASSELKNIPPE és Atle Christer CHRISTIANSEN: Energy Taxation in Europe: Current Status–Drivers and Barriers–Future Pr</w:t>
      </w:r>
      <w:r w:rsidR="00873D0E">
        <w:rPr>
          <w:rFonts w:ascii="Times New Roman" w:hAnsi="Times New Roman" w:cs="Times New Roman"/>
        </w:rPr>
        <w:t>ospects. FNI Report14/2003.1.p.;</w:t>
      </w:r>
      <w:r w:rsidRPr="00D36BD1">
        <w:rPr>
          <w:rFonts w:ascii="Times New Roman" w:hAnsi="Times New Roman" w:cs="Times New Roman"/>
        </w:rPr>
        <w:t>forrás (2012.08.11.):</w:t>
      </w:r>
      <w:hyperlink r:id="rId9" w:history="1">
        <w:r w:rsidRPr="00CA1492">
          <w:rPr>
            <w:rStyle w:val="Hiperhivatkozs"/>
            <w:rFonts w:ascii="Times New Roman" w:hAnsi="Times New Roman" w:cs="Times New Roman"/>
          </w:rPr>
          <w:t>http://dspace.cigilibrary.org</w:t>
        </w:r>
      </w:hyperlink>
    </w:p>
  </w:footnote>
  <w:footnote w:id="25">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KISS Károly (2002.): Energiaadók az Európai Unióban (környezetgazdasági elemzés). Budapest</w:t>
      </w:r>
      <w:r w:rsidR="00873D0E">
        <w:rPr>
          <w:rFonts w:ascii="Times New Roman" w:hAnsi="Times New Roman" w:cs="Times New Roman"/>
        </w:rPr>
        <w:t>, 2002. november, 13. szám, 12.</w:t>
      </w:r>
      <w:r w:rsidRPr="00D36BD1">
        <w:rPr>
          <w:rFonts w:ascii="Times New Roman" w:hAnsi="Times New Roman" w:cs="Times New Roman"/>
        </w:rPr>
        <w:t>p.; forrás (2012.08.11.):</w:t>
      </w:r>
      <w:hyperlink r:id="rId10" w:history="1">
        <w:r w:rsidRPr="008E3FD6">
          <w:rPr>
            <w:rStyle w:val="Hiperhivatkozs"/>
            <w:rFonts w:ascii="Times New Roman" w:hAnsi="Times New Roman" w:cs="Times New Roman"/>
          </w:rPr>
          <w:t>http://korny.uni-corvinus.hu</w:t>
        </w:r>
      </w:hyperlink>
    </w:p>
  </w:footnote>
  <w:footnote w:id="26">
    <w:p w:rsidR="00812916" w:rsidRPr="002A3B84" w:rsidRDefault="00812916" w:rsidP="00D36BD1">
      <w:pPr>
        <w:pStyle w:val="Lbjegyzetszveg"/>
        <w:jc w:val="both"/>
        <w:rPr>
          <w:rFonts w:ascii="Times New Roman" w:hAnsi="Times New Roman" w:cs="Times New Roman"/>
          <w:lang w:val="en-GB"/>
        </w:rPr>
      </w:pPr>
      <w:r w:rsidRPr="00D36BD1">
        <w:rPr>
          <w:rStyle w:val="Lbjegyzet-hivatkozs"/>
        </w:rPr>
        <w:footnoteRef/>
      </w:r>
      <w:r w:rsidRPr="00D36BD1">
        <w:rPr>
          <w:rFonts w:ascii="Times New Roman" w:hAnsi="Times New Roman" w:cs="Times New Roman"/>
        </w:rPr>
        <w:t xml:space="preserve">Jacob KLOK: </w:t>
      </w:r>
      <w:r w:rsidRPr="002A3B84">
        <w:rPr>
          <w:rFonts w:ascii="Times New Roman" w:hAnsi="Times New Roman" w:cs="Times New Roman"/>
          <w:lang w:val="en-GB"/>
        </w:rPr>
        <w:t>Negotiating EU CO2/energy taxation. Political economic driving forces and barriers. Institute of Local Government Studies, AKF Forlag</w:t>
      </w:r>
      <w:r w:rsidR="00873D0E">
        <w:rPr>
          <w:rFonts w:ascii="Times New Roman" w:hAnsi="Times New Roman" w:cs="Times New Roman"/>
          <w:lang w:val="en-GB"/>
        </w:rPr>
        <w:t>et, Denmark. 2002. February 17.p.;</w:t>
      </w:r>
      <w:r w:rsidRPr="002A3B84">
        <w:rPr>
          <w:rFonts w:ascii="Times New Roman" w:hAnsi="Times New Roman" w:cs="Times New Roman"/>
          <w:lang w:val="en-GB"/>
        </w:rPr>
        <w:t>forrás (2012.08.11.):</w:t>
      </w:r>
      <w:hyperlink r:id="rId11" w:history="1">
        <w:r w:rsidRPr="00CA1492">
          <w:rPr>
            <w:rStyle w:val="Hiperhivatkozs"/>
            <w:rFonts w:ascii="Times New Roman" w:hAnsi="Times New Roman" w:cs="Times New Roman"/>
            <w:lang w:val="en-GB"/>
          </w:rPr>
          <w:t>www.google.hu</w:t>
        </w:r>
      </w:hyperlink>
    </w:p>
  </w:footnote>
  <w:footnote w:id="27">
    <w:p w:rsidR="00812916" w:rsidRPr="002A3B84" w:rsidRDefault="00812916" w:rsidP="00D36BD1">
      <w:pPr>
        <w:pStyle w:val="Lbjegyzetszveg"/>
        <w:jc w:val="both"/>
        <w:rPr>
          <w:rFonts w:ascii="Times New Roman" w:hAnsi="Times New Roman" w:cs="Times New Roman"/>
          <w:lang w:val="en-GB"/>
        </w:rPr>
      </w:pPr>
      <w:r w:rsidRPr="002A3B84">
        <w:rPr>
          <w:rStyle w:val="Lbjegyzet-hivatkozs"/>
          <w:lang w:val="en-GB"/>
        </w:rPr>
        <w:footnoteRef/>
      </w:r>
      <w:r w:rsidRPr="002A3B84">
        <w:rPr>
          <w:rFonts w:ascii="Times New Roman" w:hAnsi="Times New Roman" w:cs="Times New Roman"/>
          <w:lang w:val="en-GB"/>
        </w:rPr>
        <w:t>Jacob KLOK: Energy Taxation in the European Union. Past Negotiations and Future Perspective 10 – 11. p. In: Institutio de Estudios Fisca</w:t>
      </w:r>
      <w:r w:rsidR="00873D0E">
        <w:rPr>
          <w:rFonts w:ascii="Times New Roman" w:hAnsi="Times New Roman" w:cs="Times New Roman"/>
          <w:lang w:val="en-GB"/>
        </w:rPr>
        <w:t>les, Working document 21/2005.;</w:t>
      </w:r>
      <w:r w:rsidRPr="002A3B84">
        <w:rPr>
          <w:rFonts w:ascii="Times New Roman" w:hAnsi="Times New Roman" w:cs="Times New Roman"/>
          <w:lang w:val="en-GB"/>
        </w:rPr>
        <w:t>forrás (2012.08.12.):</w:t>
      </w:r>
      <w:hyperlink r:id="rId12" w:history="1">
        <w:r w:rsidRPr="00CA1492">
          <w:rPr>
            <w:rStyle w:val="Hiperhivatkozs"/>
            <w:rFonts w:ascii="Times New Roman" w:hAnsi="Times New Roman" w:cs="Times New Roman"/>
            <w:lang w:val="en-GB"/>
          </w:rPr>
          <w:t>www.ief.es</w:t>
        </w:r>
      </w:hyperlink>
    </w:p>
  </w:footnote>
  <w:footnote w:id="28">
    <w:p w:rsidR="00812916" w:rsidRPr="002A3B84" w:rsidRDefault="00812916" w:rsidP="00D36BD1">
      <w:pPr>
        <w:pStyle w:val="Lbjegyzetszveg"/>
        <w:jc w:val="both"/>
        <w:rPr>
          <w:rFonts w:ascii="Times New Roman" w:hAnsi="Times New Roman" w:cs="Times New Roman"/>
          <w:lang w:val="en-GB"/>
        </w:rPr>
      </w:pPr>
      <w:r w:rsidRPr="002A3B84">
        <w:rPr>
          <w:rStyle w:val="Lbjegyzet-hivatkozs"/>
          <w:lang w:val="en-GB"/>
        </w:rPr>
        <w:footnoteRef/>
      </w:r>
      <w:r w:rsidRPr="002A3B84">
        <w:rPr>
          <w:rFonts w:ascii="Times New Roman" w:hAnsi="Times New Roman" w:cs="Times New Roman"/>
          <w:lang w:val="en-GB"/>
        </w:rPr>
        <w:t>92/81/EGK és 92/82/EGK irányelvek. A felújítás a fogyasztási adók minimális rátáinak megemelésére és kiterjesztésére irányult a kimerülő energiahordozók területén.</w:t>
      </w:r>
    </w:p>
  </w:footnote>
  <w:footnote w:id="29">
    <w:p w:rsidR="00812916" w:rsidRPr="00D36BD1" w:rsidRDefault="00812916" w:rsidP="00D36BD1">
      <w:pPr>
        <w:pStyle w:val="Lbjegyzetszveg"/>
        <w:jc w:val="both"/>
        <w:rPr>
          <w:rFonts w:ascii="Times New Roman" w:hAnsi="Times New Roman" w:cs="Times New Roman"/>
        </w:rPr>
      </w:pPr>
      <w:r w:rsidRPr="002A3B84">
        <w:rPr>
          <w:rStyle w:val="Lbjegyzet-hivatkozs"/>
          <w:lang w:val="en-GB"/>
        </w:rPr>
        <w:footnoteRef/>
      </w:r>
      <w:r w:rsidRPr="002A3B84">
        <w:rPr>
          <w:rFonts w:ascii="Times New Roman" w:hAnsi="Times New Roman" w:cs="Times New Roman"/>
          <w:lang w:val="en-GB"/>
        </w:rPr>
        <w:t>„Proposal for a Council Directive restructuring the Community framework for the taxation of energy products”, COM/97/0030 final.</w:t>
      </w:r>
      <w:r w:rsidRPr="00D36BD1">
        <w:rPr>
          <w:rFonts w:ascii="Times New Roman" w:hAnsi="Times New Roman" w:cs="Times New Roman"/>
        </w:rPr>
        <w:t xml:space="preserve"> A javaslatot az olasz Prof. Mario Montiról nevezték el, aki akkoriban az adózási biztos volt, jelenleg pedig Olaszország miniszterelnöke.</w:t>
      </w:r>
    </w:p>
  </w:footnote>
  <w:footnote w:id="30">
    <w:p w:rsidR="00812916" w:rsidRPr="00D36BD1" w:rsidRDefault="00812916" w:rsidP="00D36BD1">
      <w:pPr>
        <w:autoSpaceDE w:val="0"/>
        <w:autoSpaceDN w:val="0"/>
        <w:adjustRightInd w:val="0"/>
        <w:spacing w:after="0" w:line="240" w:lineRule="auto"/>
        <w:jc w:val="both"/>
        <w:rPr>
          <w:rFonts w:ascii="Times New Roman" w:hAnsi="Times New Roman" w:cs="Times New Roman"/>
          <w:sz w:val="20"/>
          <w:szCs w:val="20"/>
        </w:rPr>
      </w:pPr>
      <w:r w:rsidRPr="00D36BD1">
        <w:rPr>
          <w:rStyle w:val="Lbjegyzet-hivatkozs"/>
          <w:sz w:val="20"/>
          <w:szCs w:val="20"/>
        </w:rPr>
        <w:footnoteRef/>
      </w:r>
      <w:r w:rsidRPr="00D36BD1">
        <w:rPr>
          <w:rFonts w:ascii="Times New Roman" w:hAnsi="Times New Roman" w:cs="Times New Roman"/>
          <w:sz w:val="20"/>
          <w:szCs w:val="20"/>
        </w:rPr>
        <w:t xml:space="preserve">Ezzel a javaslat bevezette a </w:t>
      </w:r>
      <w:r w:rsidRPr="002A3B84">
        <w:rPr>
          <w:rFonts w:ascii="Times New Roman" w:hAnsi="Times New Roman" w:cs="Times New Roman"/>
          <w:sz w:val="20"/>
          <w:szCs w:val="20"/>
          <w:lang w:val="en-GB"/>
        </w:rPr>
        <w:t>double-dividend</w:t>
      </w:r>
      <w:r w:rsidRPr="00D36BD1">
        <w:rPr>
          <w:rFonts w:ascii="Times New Roman" w:hAnsi="Times New Roman" w:cs="Times New Roman"/>
          <w:sz w:val="20"/>
          <w:szCs w:val="20"/>
        </w:rPr>
        <w:t xml:space="preserve"> elvet, amely magyarul: kettős hozadék elve. Az elv lényege, hogy a jobb környezetminőségen túl (ez az első hozadék) hasznok származnak a környezethez nem kapcsolódó közgazdasági torzítások csökkentéséből, amikor a környezeti adóból származó bevételek lehetővé teszik más, torzítóbb adók csökkentését (ez a második ún. fiskális hozadék, amely a bevétel-visszafo</w:t>
      </w:r>
      <w:r w:rsidR="00873D0E">
        <w:rPr>
          <w:rFonts w:ascii="Times New Roman" w:hAnsi="Times New Roman" w:cs="Times New Roman"/>
          <w:sz w:val="20"/>
          <w:szCs w:val="20"/>
        </w:rPr>
        <w:t>rgatási hatást jelenti); forrás</w:t>
      </w:r>
      <w:r w:rsidRPr="00D36BD1">
        <w:rPr>
          <w:rFonts w:ascii="Times New Roman" w:hAnsi="Times New Roman" w:cs="Times New Roman"/>
          <w:sz w:val="20"/>
          <w:szCs w:val="20"/>
        </w:rPr>
        <w:t>(2012.08.01):</w:t>
      </w:r>
      <w:hyperlink r:id="rId13" w:history="1">
        <w:r w:rsidRPr="00CA1492">
          <w:rPr>
            <w:rStyle w:val="Hiperhivatkozs"/>
            <w:rFonts w:ascii="Times New Roman" w:hAnsi="Times New Roman" w:cs="Times New Roman"/>
            <w:sz w:val="20"/>
            <w:szCs w:val="20"/>
          </w:rPr>
          <w:t>www.nber.org/papers/w4896</w:t>
        </w:r>
      </w:hyperlink>
    </w:p>
  </w:footnote>
  <w:footnote w:id="31">
    <w:p w:rsidR="00812916" w:rsidRPr="00D36BD1" w:rsidRDefault="00812916" w:rsidP="00D36BD1">
      <w:pPr>
        <w:autoSpaceDE w:val="0"/>
        <w:autoSpaceDN w:val="0"/>
        <w:adjustRightInd w:val="0"/>
        <w:spacing w:after="0" w:line="240" w:lineRule="auto"/>
        <w:jc w:val="both"/>
        <w:rPr>
          <w:rFonts w:ascii="Times New Roman" w:hAnsi="Times New Roman" w:cs="Times New Roman"/>
          <w:sz w:val="20"/>
          <w:szCs w:val="20"/>
        </w:rPr>
      </w:pPr>
      <w:r w:rsidRPr="00D36BD1">
        <w:rPr>
          <w:rStyle w:val="Lbjegyzet-hivatkozs"/>
          <w:sz w:val="20"/>
          <w:szCs w:val="20"/>
        </w:rPr>
        <w:footnoteRef/>
      </w:r>
      <w:r w:rsidRPr="00D36BD1">
        <w:rPr>
          <w:rFonts w:ascii="Times New Roman" w:hAnsi="Times New Roman" w:cs="Times New Roman"/>
          <w:sz w:val="20"/>
          <w:szCs w:val="20"/>
        </w:rPr>
        <w:t xml:space="preserve">EEA 2000. </w:t>
      </w:r>
      <w:r w:rsidRPr="002A3B84">
        <w:rPr>
          <w:rFonts w:ascii="Times New Roman" w:hAnsi="Times New Roman" w:cs="Times New Roman"/>
          <w:sz w:val="20"/>
          <w:szCs w:val="20"/>
          <w:lang w:val="en-GB"/>
        </w:rPr>
        <w:t>Environmental taxes: recent developments</w:t>
      </w:r>
      <w:r w:rsidR="00873D0E">
        <w:rPr>
          <w:rFonts w:ascii="Times New Roman" w:hAnsi="Times New Roman" w:cs="Times New Roman"/>
          <w:sz w:val="20"/>
          <w:szCs w:val="20"/>
          <w:lang w:val="en-GB"/>
        </w:rPr>
        <w:t xml:space="preserve"> in tools for integration. EEA,2000,</w:t>
      </w:r>
      <w:r w:rsidRPr="002A3B84">
        <w:rPr>
          <w:rFonts w:ascii="Times New Roman" w:hAnsi="Times New Roman" w:cs="Times New Roman"/>
          <w:sz w:val="20"/>
          <w:szCs w:val="20"/>
          <w:lang w:val="en-GB"/>
        </w:rPr>
        <w:t>Copenhagen</w:t>
      </w:r>
      <w:r w:rsidR="00873D0E">
        <w:rPr>
          <w:rFonts w:ascii="Times New Roman" w:hAnsi="Times New Roman" w:cs="Times New Roman"/>
          <w:sz w:val="20"/>
          <w:szCs w:val="20"/>
        </w:rPr>
        <w:t>.29.p. forrás</w:t>
      </w:r>
      <w:r w:rsidRPr="00D36BD1">
        <w:rPr>
          <w:rFonts w:ascii="Times New Roman" w:hAnsi="Times New Roman" w:cs="Times New Roman"/>
          <w:sz w:val="20"/>
          <w:szCs w:val="20"/>
        </w:rPr>
        <w:t>(2012. 08.10.):</w:t>
      </w:r>
      <w:hyperlink r:id="rId14" w:history="1">
        <w:r w:rsidRPr="00CA1492">
          <w:rPr>
            <w:rStyle w:val="Hiperhivatkozs"/>
            <w:rFonts w:ascii="Times New Roman" w:hAnsi="Times New Roman" w:cs="Times New Roman"/>
            <w:sz w:val="20"/>
            <w:szCs w:val="20"/>
          </w:rPr>
          <w:t>www.eea.europa.eu</w:t>
        </w:r>
      </w:hyperlink>
    </w:p>
  </w:footnote>
  <w:footnote w:id="32">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KISS (2002.): </w:t>
      </w:r>
      <w:r w:rsidRPr="00D36BD1">
        <w:rPr>
          <w:rFonts w:ascii="Times New Roman" w:hAnsi="Times New Roman" w:cs="Times New Roman"/>
          <w:i/>
        </w:rPr>
        <w:t>op.cit.</w:t>
      </w:r>
      <w:r w:rsidR="00873D0E">
        <w:rPr>
          <w:rFonts w:ascii="Times New Roman" w:hAnsi="Times New Roman" w:cs="Times New Roman"/>
        </w:rPr>
        <w:t>13.</w:t>
      </w:r>
      <w:r w:rsidRPr="00D36BD1">
        <w:rPr>
          <w:rFonts w:ascii="Times New Roman" w:hAnsi="Times New Roman" w:cs="Times New Roman"/>
        </w:rPr>
        <w:t>p.</w:t>
      </w:r>
    </w:p>
  </w:footnote>
  <w:footnote w:id="33">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VAT= </w:t>
      </w:r>
      <w:r w:rsidRPr="002A3B84">
        <w:rPr>
          <w:rFonts w:ascii="Times New Roman" w:hAnsi="Times New Roman" w:cs="Times New Roman"/>
          <w:lang w:val="en-GB"/>
        </w:rPr>
        <w:t>Value Added Tax</w:t>
      </w:r>
      <w:r w:rsidRPr="00D36BD1">
        <w:rPr>
          <w:rFonts w:ascii="Times New Roman" w:hAnsi="Times New Roman" w:cs="Times New Roman"/>
        </w:rPr>
        <w:t xml:space="preserve">. Az EU-ban fogyasztási adó, ami a hazai szabályozásban az </w:t>
      </w:r>
      <w:r>
        <w:rPr>
          <w:rFonts w:ascii="Times New Roman" w:hAnsi="Times New Roman" w:cs="Times New Roman"/>
        </w:rPr>
        <w:t>áfá</w:t>
      </w:r>
      <w:r w:rsidRPr="00D36BD1">
        <w:rPr>
          <w:rFonts w:ascii="Times New Roman" w:hAnsi="Times New Roman" w:cs="Times New Roman"/>
        </w:rPr>
        <w:t xml:space="preserve">val egyezik meg. </w:t>
      </w:r>
    </w:p>
  </w:footnote>
  <w:footnote w:id="34">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A finn, portugál és francia elnökség ideje alatt nem történt előrelépés.</w:t>
      </w:r>
    </w:p>
  </w:footnote>
  <w:footnote w:id="35">
    <w:p w:rsidR="00812916" w:rsidRPr="00D36BD1" w:rsidRDefault="00812916" w:rsidP="00D36BD1">
      <w:pPr>
        <w:pStyle w:val="Lbjegyzetszveg"/>
        <w:jc w:val="both"/>
        <w:rPr>
          <w:rFonts w:ascii="Times New Roman" w:hAnsi="Times New Roman" w:cs="Times New Roman"/>
          <w:i/>
        </w:rPr>
      </w:pPr>
      <w:r w:rsidRPr="00D36BD1">
        <w:rPr>
          <w:rStyle w:val="Lbjegyzet-hivatkozs"/>
        </w:rPr>
        <w:footnoteRef/>
      </w:r>
      <w:r w:rsidRPr="00D36BD1">
        <w:rPr>
          <w:rFonts w:ascii="Times New Roman" w:hAnsi="Times New Roman" w:cs="Times New Roman"/>
        </w:rPr>
        <w:t xml:space="preserve">HASSELKNIPPE és CHRISTIENSEN (2003.): </w:t>
      </w:r>
      <w:r w:rsidRPr="00D36BD1">
        <w:rPr>
          <w:rFonts w:ascii="Times New Roman" w:hAnsi="Times New Roman" w:cs="Times New Roman"/>
          <w:i/>
        </w:rPr>
        <w:t>op.cit.</w:t>
      </w:r>
      <w:r w:rsidRPr="00D36BD1">
        <w:rPr>
          <w:rFonts w:ascii="Times New Roman" w:hAnsi="Times New Roman" w:cs="Times New Roman"/>
        </w:rPr>
        <w:t>6</w:t>
      </w:r>
      <w:r w:rsidR="008804A4">
        <w:rPr>
          <w:rFonts w:ascii="Times New Roman" w:hAnsi="Times New Roman" w:cs="Times New Roman"/>
        </w:rPr>
        <w:t>.</w:t>
      </w:r>
      <w:r w:rsidRPr="00D36BD1">
        <w:rPr>
          <w:rFonts w:ascii="Times New Roman" w:hAnsi="Times New Roman" w:cs="Times New Roman"/>
        </w:rPr>
        <w:t>p.</w:t>
      </w:r>
    </w:p>
  </w:footnote>
  <w:footnote w:id="36">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A franciák magát a liberalizálást is ellenzik, hiszen a spanyol javaslat hátterében az áll, hogy a spanyolok a liberalizáció révén hozzá akarnak jutni az olcsó, francia energiához.</w:t>
      </w:r>
    </w:p>
  </w:footnote>
  <w:footnote w:id="37">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KISS (2002.): </w:t>
      </w:r>
      <w:r w:rsidRPr="00D36BD1">
        <w:rPr>
          <w:rFonts w:ascii="Times New Roman" w:hAnsi="Times New Roman" w:cs="Times New Roman"/>
          <w:i/>
        </w:rPr>
        <w:t>op.cit</w:t>
      </w:r>
      <w:r w:rsidR="008804A4">
        <w:rPr>
          <w:rFonts w:ascii="Times New Roman" w:hAnsi="Times New Roman" w:cs="Times New Roman"/>
        </w:rPr>
        <w:t>.17.</w:t>
      </w:r>
      <w:r w:rsidRPr="00D36BD1">
        <w:rPr>
          <w:rFonts w:ascii="Times New Roman" w:hAnsi="Times New Roman" w:cs="Times New Roman"/>
        </w:rPr>
        <w:t>p.</w:t>
      </w:r>
    </w:p>
  </w:footnote>
  <w:footnote w:id="38">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Az akkori taglétszám mellett legalább 8 tagállam egyetértése kellett, hogy egyetértés születhessen azzal, hogy a fennmaradó tagállamoknak biztosítják azt, hogy később csatlakozzanak a megállapodáshoz. A nizzai szerződés idején arról is szó esett, hogy az energiatermékek adózási kérdéseiben minősített többséggel szülessenek meg a döntések, de ezt a javaslatot hamar visszautasították.</w:t>
      </w:r>
    </w:p>
  </w:footnote>
  <w:footnote w:id="39">
    <w:p w:rsidR="00812916" w:rsidRPr="00D36BD1" w:rsidRDefault="00812916" w:rsidP="00D36BD1">
      <w:pPr>
        <w:pStyle w:val="Lbjegyzetszveg"/>
        <w:jc w:val="both"/>
        <w:rPr>
          <w:rFonts w:ascii="Times New Roman" w:hAnsi="Times New Roman" w:cs="Times New Roman"/>
        </w:rPr>
      </w:pPr>
      <w:r w:rsidRPr="00D36BD1">
        <w:rPr>
          <w:rFonts w:ascii="Times New Roman" w:hAnsi="Times New Roman" w:cs="Times New Roman"/>
        </w:rPr>
        <w:t xml:space="preserve">HASSELKNIPPE és CHRISTIENSEN (2003.): </w:t>
      </w:r>
      <w:r w:rsidRPr="00D36BD1">
        <w:rPr>
          <w:rFonts w:ascii="Times New Roman" w:hAnsi="Times New Roman" w:cs="Times New Roman"/>
          <w:i/>
        </w:rPr>
        <w:t>op.cit</w:t>
      </w:r>
      <w:r w:rsidR="008804A4">
        <w:rPr>
          <w:rFonts w:ascii="Times New Roman" w:hAnsi="Times New Roman" w:cs="Times New Roman"/>
        </w:rPr>
        <w:t>.7.</w:t>
      </w:r>
      <w:r w:rsidRPr="00D36BD1">
        <w:rPr>
          <w:rFonts w:ascii="Times New Roman" w:hAnsi="Times New Roman" w:cs="Times New Roman"/>
        </w:rPr>
        <w:t>p.</w:t>
      </w:r>
    </w:p>
  </w:footnote>
  <w:footnote w:id="40">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Ilyen szektornak minősülnek pl.: háztartás, </w:t>
      </w:r>
      <w:r w:rsidR="008804A4">
        <w:rPr>
          <w:rFonts w:ascii="Times New Roman" w:hAnsi="Times New Roman" w:cs="Times New Roman"/>
        </w:rPr>
        <w:t>ipar, közlekedés, szolgáltatás…</w:t>
      </w:r>
      <w:r w:rsidRPr="00D36BD1">
        <w:rPr>
          <w:rFonts w:ascii="Times New Roman" w:hAnsi="Times New Roman" w:cs="Times New Roman"/>
        </w:rPr>
        <w:t>etc.</w:t>
      </w:r>
    </w:p>
  </w:footnote>
  <w:footnote w:id="41">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Ennek az indoka az, hogy az energiatermékekre nem vetettek ki fogyasztási adót. Az angol ellenállást ezzel leszerelték, mert Angliában a háztartásokat az adóreform nem érinti, viszont kiüresíti a reformot, mivel most már az utolsó nagy szektort is bekapcsolja a mentesítések körébe.</w:t>
      </w:r>
    </w:p>
  </w:footnote>
  <w:footnote w:id="42">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Ezt felhatalmazás nélkül tehetik meg. A mérték meghatározása az energiatermékek minőségén vagy felhasználásán alapszik.</w:t>
      </w:r>
    </w:p>
  </w:footnote>
  <w:footnote w:id="43">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Az Egyesült Királyságban, Dániában és Németországban ez a megoldás a gyakorlatban már létezett. Az adók szankcionáló szerepet töltenek be, abban az esetben, hogy ha nem tesznek eleget az önkéntes megállapodásnak a vállalatok és ágazatok.</w:t>
      </w:r>
    </w:p>
  </w:footnote>
  <w:footnote w:id="44">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HASSELKNIPPE és CHRISTIENSEN (2003.): </w:t>
      </w:r>
      <w:r w:rsidRPr="00D36BD1">
        <w:rPr>
          <w:rFonts w:ascii="Times New Roman" w:hAnsi="Times New Roman" w:cs="Times New Roman"/>
          <w:i/>
        </w:rPr>
        <w:t>op.cit.</w:t>
      </w:r>
      <w:r w:rsidR="008804A4">
        <w:rPr>
          <w:rFonts w:ascii="Times New Roman" w:hAnsi="Times New Roman" w:cs="Times New Roman"/>
        </w:rPr>
        <w:t>7.</w:t>
      </w:r>
      <w:r w:rsidRPr="00D36BD1">
        <w:rPr>
          <w:rFonts w:ascii="Times New Roman" w:hAnsi="Times New Roman" w:cs="Times New Roman"/>
        </w:rPr>
        <w:t>p.</w:t>
      </w:r>
    </w:p>
  </w:footnote>
  <w:footnote w:id="45">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287 euróról 302-re.</w:t>
      </w:r>
    </w:p>
  </w:footnote>
  <w:footnote w:id="46">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Üzleti fogyasztóknak 0,5 euró/MWh és nem üzleti fogyasztók esetében ez a mennyiség 1 euró megawattóránként.</w:t>
      </w:r>
    </w:p>
  </w:footnote>
  <w:footnote w:id="47">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Az ECOFIN az Európai Unió Tanácsának szervezeti egysége. Magyarul: gazdasági és pénzügyminiszterek tanácsa; forrás (2012.08.11.):</w:t>
      </w:r>
      <w:hyperlink r:id="rId15" w:history="1">
        <w:r w:rsidRPr="00CA1492">
          <w:rPr>
            <w:rStyle w:val="Hiperhivatkozs"/>
            <w:rFonts w:ascii="Times New Roman" w:hAnsi="Times New Roman" w:cs="Times New Roman"/>
          </w:rPr>
          <w:t>www.ecofin.co.uk</w:t>
        </w:r>
      </w:hyperlink>
    </w:p>
  </w:footnote>
  <w:footnote w:id="48">
    <w:p w:rsidR="00812916" w:rsidRPr="00BB44BE" w:rsidRDefault="00812916">
      <w:pPr>
        <w:pStyle w:val="Lbjegyzetszveg"/>
      </w:pPr>
      <w:r>
        <w:rPr>
          <w:rStyle w:val="Lbjegyzet-hivatkozs"/>
        </w:rPr>
        <w:footnoteRef/>
      </w:r>
      <w:r>
        <w:t xml:space="preserve"> </w:t>
      </w:r>
      <w:r w:rsidRPr="00413518">
        <w:rPr>
          <w:rFonts w:ascii="Times New Roman" w:hAnsi="Times New Roman" w:cs="Times New Roman"/>
          <w:sz w:val="24"/>
          <w:szCs w:val="24"/>
        </w:rPr>
        <w:t xml:space="preserve"> </w:t>
      </w:r>
      <w:r>
        <w:rPr>
          <w:rFonts w:ascii="Times New Roman" w:hAnsi="Times New Roman" w:cs="Times New Roman"/>
        </w:rPr>
        <w:t>A földgázra, a szénre és a villamos energiára.</w:t>
      </w:r>
    </w:p>
  </w:footnote>
  <w:footnote w:id="49">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Tulajdonképpen ez csupán egy formális aktus volt, hiszen az EP-nek nincs joga megvétózni az adózással kapcsolatos kérdéseket.</w:t>
      </w:r>
    </w:p>
  </w:footnote>
  <w:footnote w:id="50">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008804A4">
        <w:rPr>
          <w:rFonts w:ascii="Times New Roman" w:hAnsi="Times New Roman" w:cs="Times New Roman"/>
        </w:rPr>
        <w:t>2003/96/EK tanácsi irányelv 28.</w:t>
      </w:r>
      <w:r w:rsidRPr="00D36BD1">
        <w:rPr>
          <w:rFonts w:ascii="Times New Roman" w:hAnsi="Times New Roman" w:cs="Times New Roman"/>
        </w:rPr>
        <w:t>cikke.</w:t>
      </w:r>
    </w:p>
  </w:footnote>
  <w:footnote w:id="51">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2004/74/EK tanácsi irányelv értelmében az új tagállamoknak az egyes energiatermékekre vonatkozó hazai szabályozás harmonizálására eltérő határidőt állapít meg az irányelv. </w:t>
      </w:r>
    </w:p>
  </w:footnote>
  <w:footnote w:id="52">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C–475/07.sz.ügy. Felperes: az EU Bizottsága, alperes: a Lengyel Köztársaság. forrás (2012.07.22.):</w:t>
      </w:r>
      <w:hyperlink r:id="rId16" w:history="1">
        <w:r w:rsidRPr="00D36BD1">
          <w:rPr>
            <w:rStyle w:val="Hiperhivatkozs"/>
            <w:rFonts w:ascii="Times New Roman" w:hAnsi="Times New Roman" w:cs="Times New Roman"/>
          </w:rPr>
          <w:t>http://eur-lex.europa.eu/LexUriServ/LexUriServ.do?uri=OJ:C:2009:082:0005:0006:FR:PDF</w:t>
        </w:r>
      </w:hyperlink>
    </w:p>
  </w:footnote>
  <w:footnote w:id="53">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2003/96/EK tanácsi irányelv preambulum (26) bekezdés.</w:t>
      </w:r>
    </w:p>
  </w:footnote>
  <w:footnote w:id="54">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2003/96/EK tanácsi irányelv preambulum (5), (13), (17) bekezdések.</w:t>
      </w:r>
    </w:p>
  </w:footnote>
  <w:footnote w:id="55">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2003/96/EK tanácsi irányelv preambulum (20), (21) bekezdések.</w:t>
      </w:r>
    </w:p>
  </w:footnote>
  <w:footnote w:id="56">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Az eljárás vonatkozásában a bevezető rész csupán annyit deklarál, hogy a mentességeket rendszeresen felül kell vizsgálni. Az eljárás kifejtését a 29. cikk tartalmazza. A Bizottság játssza ebben a kulcsszerepet, hiszen az ő jelentése, és adott esetben javaslata alapján vizsgálja meg a mentességeket, kedvezményeket az adott tagállamban. Ezt követően egy formális konzultációra kerül sor, amelyet az EP-vel folytat, majd egyhangúlag elfogadja a szükséges intézkedés(eke)t.</w:t>
      </w:r>
    </w:p>
  </w:footnote>
  <w:footnote w:id="57">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2003/96/EK tanácsi irányelv 1. cikk.</w:t>
      </w:r>
    </w:p>
  </w:footnote>
  <w:footnote w:id="58">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A vám- és statisztikai nómenklatúráról, valamint a közös vámtarifáról szóló 2658/87/EGK tanácsi rendelet I. mellékletének módosításáról szóló 2031/2001/EK bizottsági rendeletet jelenti.</w:t>
      </w:r>
    </w:p>
  </w:footnote>
  <w:footnote w:id="59">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2003/96/EK tanácsi irányelv 22. cikke értelmében.</w:t>
      </w:r>
    </w:p>
  </w:footnote>
  <w:footnote w:id="60">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További feltételeket is rögzít az irányelv: (1) közvetlen kapcsolat áll fent az eltérő adómérték és a termékminőség között; (2) az eltérő adómérték a tüzelési, fűtési célra használt villamos energia és energiatermékek fogyasztásához igazodnak; (3) helyi tömegközlekedésnél, hulladékgyűjtésnél, fegyveres erők és közigazgatási szerveknél, fogyatékossággal élő személyek esetén, betegszállító járműveknél, (4) a villamos energia termékek üzleti és nem üzleti felhasználásánál.</w:t>
      </w:r>
    </w:p>
  </w:footnote>
  <w:footnote w:id="61">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Az eljárás kötött rendben zajlik. Az első lépés az, hogy a tagállam értesítse a Bizottságot a bevezetni kívánt intézkedésről és megküldjön arról minden információt. A Bizottság ezt követően megvizsgálja azt, figyelembe véve a belső piac megfelelő működését, a tisztességes verseny biztosításának szükségességét, a környezetvédelmi, egészségügyi, energia – és közlekedési politikákat. A Bizottságnak a vizsgálat elvégzésére 3 hónap áll rendelkezésére. Ezt követően tájékoztatja az adott intézkedésről a Tanácsot, megküldi a szükséges információkat neki és a legfontosabb, hogy a javaslatot arra, hogy a Tanács engedélyezze az adott intézkedést, vagy azokról az indokokról tájékoztatja a Tanácsot, amelyek értelmében ne engedélyezze az intézkedést. Így jól látható, hogy a végső döntéshozó fórum a Tanács. Az engedély érvényessége 6 hónap, amely az előző szabályokkal összhangban megújítható: ebben az esetben, ha a Bizottság az előző indokokra tekintettel úgy határoz, hogy nem tartható fent az intézkedés, akkor többé nem adható meg az engedély</w:t>
      </w:r>
    </w:p>
  </w:footnote>
  <w:footnote w:id="62">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Ez a direktíva be lett építve a 2003/96/EK tanácsi irányelvbe.</w:t>
      </w:r>
    </w:p>
  </w:footnote>
  <w:footnote w:id="63">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Ez azt jelentette, hogy a felsorolt energiatermékek vonatkozásában a távfűtési céllal történő felhasználáskor a hazai adómértéket 2010. január 1-ig kellett az uniós minimum adómértékhez igazítani. Ez maradéktalanul megtörtént, mert ha nem így lett volna, akkor velünk szemben is, mint Lengyelországgal szemben kötelezettségszegési eljárást indítottak volna.</w:t>
      </w:r>
    </w:p>
  </w:footnote>
  <w:footnote w:id="64">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A legnagyobb ilyen kötelezettséget a megfelelő implementálási kötelezettséget jelenti, amelynek érdekében a tagállamok kötelesek elfogadni és kihirdetni a jogszabályi és közigazgatási rendelkezéséket, amelyek ahhoz szükségesek, hogy határidőben megfeleljenek az irányelvnek. Erről a Bizottságot haladéktalanul tájékoztatniuk kell.</w:t>
      </w:r>
    </w:p>
  </w:footnote>
  <w:footnote w:id="65">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Munkájának minél hatékonyabb elvégzése érdekében a Jövedéki adó bizottság is segíti.</w:t>
      </w:r>
    </w:p>
  </w:footnote>
  <w:footnote w:id="66">
    <w:p w:rsidR="00812916" w:rsidRPr="002A3B84" w:rsidRDefault="00812916" w:rsidP="00D36BD1">
      <w:pPr>
        <w:pStyle w:val="Lbjegyzetszveg"/>
        <w:jc w:val="both"/>
        <w:rPr>
          <w:rFonts w:ascii="Times New Roman" w:hAnsi="Times New Roman" w:cs="Times New Roman"/>
          <w:lang w:val="en-GB"/>
        </w:rPr>
      </w:pPr>
      <w:r w:rsidRPr="00D36BD1">
        <w:rPr>
          <w:rStyle w:val="Lbjegyzet-hivatkozs"/>
        </w:rPr>
        <w:footnoteRef/>
      </w:r>
      <w:r w:rsidRPr="002A3B84">
        <w:rPr>
          <w:rFonts w:ascii="Times New Roman" w:hAnsi="Times New Roman" w:cs="Times New Roman"/>
          <w:lang w:val="en-GB"/>
        </w:rPr>
        <w:t>Taxation Trends in the European Union: Data for the EU Member States and Norway, Eurostat,2008.10.p; forrás(2012.08.30.):</w:t>
      </w:r>
      <w:hyperlink r:id="rId17" w:history="1">
        <w:r w:rsidRPr="00CA1492">
          <w:rPr>
            <w:rStyle w:val="Hiperhivatkozs"/>
            <w:rFonts w:ascii="Times New Roman" w:hAnsi="Times New Roman" w:cs="Times New Roman"/>
            <w:lang w:val="en-GB"/>
          </w:rPr>
          <w:t>http://ec.europa.eu</w:t>
        </w:r>
      </w:hyperlink>
    </w:p>
  </w:footnote>
  <w:footnote w:id="67">
    <w:p w:rsidR="00812916" w:rsidRPr="002A3B84" w:rsidRDefault="00812916" w:rsidP="00D36BD1">
      <w:pPr>
        <w:pStyle w:val="Lbjegyzetszveg"/>
        <w:jc w:val="both"/>
        <w:rPr>
          <w:rFonts w:ascii="Times New Roman" w:hAnsi="Times New Roman" w:cs="Times New Roman"/>
          <w:lang w:val="en-GB"/>
        </w:rPr>
      </w:pPr>
      <w:r w:rsidRPr="002A3B84">
        <w:rPr>
          <w:rStyle w:val="Lbjegyzet-hivatkozs"/>
          <w:lang w:val="en-GB"/>
        </w:rPr>
        <w:footnoteRef/>
      </w:r>
      <w:r w:rsidRPr="002A3B84">
        <w:rPr>
          <w:rFonts w:ascii="Times New Roman" w:hAnsi="Times New Roman" w:cs="Times New Roman"/>
          <w:lang w:val="en-GB"/>
        </w:rPr>
        <w:t xml:space="preserve">Taxation trends in the European Union (2008): </w:t>
      </w:r>
      <w:r w:rsidRPr="002A3B84">
        <w:rPr>
          <w:rFonts w:ascii="Times New Roman" w:hAnsi="Times New Roman" w:cs="Times New Roman"/>
          <w:i/>
          <w:lang w:val="en-GB"/>
        </w:rPr>
        <w:t>op.cit.</w:t>
      </w:r>
      <w:r w:rsidR="008804A4">
        <w:rPr>
          <w:rFonts w:ascii="Times New Roman" w:hAnsi="Times New Roman" w:cs="Times New Roman"/>
          <w:lang w:val="en-GB"/>
        </w:rPr>
        <w:t>10.</w:t>
      </w:r>
      <w:r w:rsidRPr="002A3B84">
        <w:rPr>
          <w:rFonts w:ascii="Times New Roman" w:hAnsi="Times New Roman" w:cs="Times New Roman"/>
          <w:lang w:val="en-GB"/>
        </w:rPr>
        <w:t>p.</w:t>
      </w:r>
    </w:p>
  </w:footnote>
  <w:footnote w:id="68">
    <w:p w:rsidR="00812916" w:rsidRPr="00D36BD1" w:rsidRDefault="00812916" w:rsidP="00D36BD1">
      <w:pPr>
        <w:pStyle w:val="Lbjegyzetszveg"/>
        <w:jc w:val="both"/>
        <w:rPr>
          <w:rFonts w:ascii="Times New Roman" w:hAnsi="Times New Roman" w:cs="Times New Roman"/>
        </w:rPr>
      </w:pPr>
      <w:r w:rsidRPr="002A3B84">
        <w:rPr>
          <w:rStyle w:val="Lbjegyzet-hivatkozs"/>
          <w:lang w:val="en-GB"/>
        </w:rPr>
        <w:footnoteRef/>
      </w:r>
      <w:r w:rsidRPr="002A3B84">
        <w:rPr>
          <w:rFonts w:ascii="Times New Roman" w:hAnsi="Times New Roman" w:cs="Times New Roman"/>
          <w:lang w:val="en-GB"/>
        </w:rPr>
        <w:t>1993. White Paper on Growth, Competitiveness and Employment. COM (93) 700, 1993. December 1993; forrás (2012.08.20.):</w:t>
      </w:r>
      <w:hyperlink r:id="rId18" w:history="1">
        <w:r w:rsidRPr="00CA1492">
          <w:rPr>
            <w:rStyle w:val="Hiperhivatkozs"/>
            <w:rFonts w:ascii="Times New Roman" w:hAnsi="Times New Roman" w:cs="Times New Roman"/>
            <w:lang w:val="en-GB"/>
          </w:rPr>
          <w:t>http://aei.pitt.edu</w:t>
        </w:r>
      </w:hyperlink>
    </w:p>
  </w:footnote>
  <w:footnote w:id="69">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Ennek tulajdonképpen az volt az oka, hogy a „váltás” előnyökkel járt: új munkahelyek teremtése, növekedés, környezetvédelem, azaz ezt hívják az ún. „dupla hozadék” elvének.</w:t>
      </w:r>
    </w:p>
  </w:footnote>
  <w:footnote w:id="70">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A tagállamok nagy része élenjárt a folyamatoknak, mint Németország, Dánia, Svédország, az Egyesült Királyság, Hollandia, Finnország, az „új” tagállamok közül pedig Szlovénia, a Cseh Köztársaság, és Észtország.</w:t>
      </w:r>
    </w:p>
  </w:footnote>
  <w:footnote w:id="71">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Forrás(2012.07.18.):</w:t>
      </w:r>
      <w:hyperlink r:id="rId19" w:anchor="9" w:history="1">
        <w:r w:rsidRPr="00D36BD1">
          <w:rPr>
            <w:rStyle w:val="Hiperhivatkozs"/>
            <w:rFonts w:ascii="Times New Roman" w:hAnsi="Times New Roman" w:cs="Times New Roman"/>
          </w:rPr>
          <w:t>http://ec.europa.eu/taxation_customs/taxation/gen_info/info_docs/tax_inventory/faq_3947_en.htm#9</w:t>
        </w:r>
      </w:hyperlink>
    </w:p>
  </w:footnote>
  <w:footnote w:id="72">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2A3B84">
        <w:rPr>
          <w:rFonts w:ascii="Times New Roman" w:hAnsi="Times New Roman" w:cs="Times New Roman"/>
          <w:lang w:val="en-GB"/>
        </w:rPr>
        <w:t>Taxation trends in the</w:t>
      </w:r>
      <w:r w:rsidRPr="00D36BD1">
        <w:rPr>
          <w:rFonts w:ascii="Times New Roman" w:hAnsi="Times New Roman" w:cs="Times New Roman"/>
        </w:rPr>
        <w:t xml:space="preserve"> European Union (2008) </w:t>
      </w:r>
      <w:r w:rsidRPr="00D36BD1">
        <w:rPr>
          <w:rFonts w:ascii="Times New Roman" w:hAnsi="Times New Roman" w:cs="Times New Roman"/>
          <w:i/>
        </w:rPr>
        <w:t>op.cit.</w:t>
      </w:r>
      <w:r w:rsidR="008804A4">
        <w:rPr>
          <w:rFonts w:ascii="Times New Roman" w:hAnsi="Times New Roman" w:cs="Times New Roman"/>
        </w:rPr>
        <w:t>100.</w:t>
      </w:r>
      <w:r w:rsidRPr="00D36BD1">
        <w:rPr>
          <w:rFonts w:ascii="Times New Roman" w:hAnsi="Times New Roman" w:cs="Times New Roman"/>
        </w:rPr>
        <w:t>p. Ez az általam említett utolsó kategóriát kettébontja és nem egyben tárgyalja. Az angol kifejezéshez hűen ez a környezetszennyezési adót jelenti és az erőforrás adót.</w:t>
      </w:r>
    </w:p>
  </w:footnote>
  <w:footnote w:id="73">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2A3B84">
        <w:rPr>
          <w:rFonts w:ascii="Times New Roman" w:hAnsi="Times New Roman" w:cs="Times New Roman"/>
          <w:lang w:val="en-GB"/>
        </w:rPr>
        <w:t>Taxation trends in the</w:t>
      </w:r>
      <w:r w:rsidRPr="00D36BD1">
        <w:rPr>
          <w:rFonts w:ascii="Times New Roman" w:hAnsi="Times New Roman" w:cs="Times New Roman"/>
        </w:rPr>
        <w:t xml:space="preserve"> European Union (2008) </w:t>
      </w:r>
      <w:r w:rsidRPr="00D36BD1">
        <w:rPr>
          <w:rFonts w:ascii="Times New Roman" w:hAnsi="Times New Roman" w:cs="Times New Roman"/>
          <w:i/>
        </w:rPr>
        <w:t>op.cit.</w:t>
      </w:r>
      <w:r w:rsidR="008804A4">
        <w:rPr>
          <w:rFonts w:ascii="Times New Roman" w:hAnsi="Times New Roman" w:cs="Times New Roman"/>
        </w:rPr>
        <w:t>100.</w:t>
      </w:r>
      <w:r w:rsidRPr="00D36BD1">
        <w:rPr>
          <w:rFonts w:ascii="Times New Roman" w:hAnsi="Times New Roman" w:cs="Times New Roman"/>
        </w:rPr>
        <w:t>p. E mellett a közlekedési adóterhek a teljes EU költségvetési bevételének az ¼ részét teszik ki, a másik adónem pedig kb. 4,6%-os bevételt jelentenek az Unió számára.</w:t>
      </w:r>
    </w:p>
  </w:footnote>
  <w:footnote w:id="74">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A káros anyag kibocsátás után energiaadó címen is lehet fizetési kötelezettségnek eleget tenni, valamint erre szolgál az ETS rendszer, amely a kibocsátás-kereskedelmet jelenti. A dolgozatom végén ezt problémaként mutatom be.</w:t>
      </w:r>
    </w:p>
  </w:footnote>
  <w:footnote w:id="75">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Walter DEFFA: „</w:t>
      </w:r>
      <w:r w:rsidRPr="002A3B84">
        <w:rPr>
          <w:rFonts w:ascii="Times New Roman" w:hAnsi="Times New Roman" w:cs="Times New Roman"/>
          <w:lang w:val="en-GB"/>
        </w:rPr>
        <w:t>Environmental taxation at EU Level” című előadása. GBE Annual Conference. 2010. július 9. Budapest. A GDP 1,6%</w:t>
      </w:r>
      <w:r w:rsidRPr="00D36BD1">
        <w:rPr>
          <w:rFonts w:ascii="Times New Roman" w:hAnsi="Times New Roman" w:cs="Times New Roman"/>
        </w:rPr>
        <w:t xml:space="preserve"> - 5,7% között mozognak az értékek; forrás (2012.07.22.):</w:t>
      </w:r>
      <w:hyperlink r:id="rId20" w:history="1">
        <w:r w:rsidRPr="00CA1492">
          <w:rPr>
            <w:rStyle w:val="Hiperhivatkozs"/>
            <w:rFonts w:ascii="Times New Roman" w:hAnsi="Times New Roman" w:cs="Times New Roman"/>
          </w:rPr>
          <w:t>www.foes.de</w:t>
        </w:r>
      </w:hyperlink>
      <w:r>
        <w:t>.</w:t>
      </w:r>
      <w:r w:rsidRPr="00D36BD1">
        <w:rPr>
          <w:rFonts w:ascii="Times New Roman" w:hAnsi="Times New Roman" w:cs="Times New Roman"/>
        </w:rPr>
        <w:t>Sorban: energia, közlekedés, szennyezési/erőforrás adók.</w:t>
      </w:r>
    </w:p>
  </w:footnote>
  <w:footnote w:id="76">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2A3B84">
        <w:rPr>
          <w:rFonts w:ascii="Times New Roman" w:hAnsi="Times New Roman" w:cs="Times New Roman"/>
          <w:lang w:val="en-GB"/>
        </w:rPr>
        <w:t>Taxation trends in the European</w:t>
      </w:r>
      <w:r w:rsidRPr="00D36BD1">
        <w:rPr>
          <w:rFonts w:ascii="Times New Roman" w:hAnsi="Times New Roman" w:cs="Times New Roman"/>
        </w:rPr>
        <w:t xml:space="preserve"> Union (2008): </w:t>
      </w:r>
      <w:r w:rsidRPr="00D36BD1">
        <w:rPr>
          <w:rFonts w:ascii="Times New Roman" w:hAnsi="Times New Roman" w:cs="Times New Roman"/>
          <w:i/>
        </w:rPr>
        <w:t xml:space="preserve">op.cit. </w:t>
      </w:r>
      <w:r w:rsidRPr="00D36BD1">
        <w:rPr>
          <w:rFonts w:ascii="Times New Roman" w:hAnsi="Times New Roman" w:cs="Times New Roman"/>
        </w:rPr>
        <w:t>Az EU-n belül Svédországban a második legmagasabbak az adómértékek.</w:t>
      </w:r>
    </w:p>
  </w:footnote>
  <w:footnote w:id="77">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Összehasonlításként: a 2012. évre tervezett költségvetés szerint nálunk ez a bevétel 64 millió eurónak felel meg.</w:t>
      </w:r>
    </w:p>
  </w:footnote>
  <w:footnote w:id="78">
    <w:p w:rsidR="00812916" w:rsidRPr="002A3B84" w:rsidRDefault="00812916" w:rsidP="00D36BD1">
      <w:pPr>
        <w:pStyle w:val="Lbjegyzetszveg"/>
        <w:jc w:val="both"/>
        <w:rPr>
          <w:rFonts w:ascii="Times New Roman" w:hAnsi="Times New Roman" w:cs="Times New Roman"/>
          <w:lang w:val="en-GB"/>
        </w:rPr>
      </w:pPr>
      <w:r w:rsidRPr="00D36BD1">
        <w:rPr>
          <w:rStyle w:val="Lbjegyzet-hivatkozs"/>
        </w:rPr>
        <w:footnoteRef/>
      </w:r>
      <w:hyperlink r:id="rId21" w:history="1">
        <w:r w:rsidRPr="00CA1492">
          <w:rPr>
            <w:rStyle w:val="Hiperhivatkozs"/>
            <w:rFonts w:ascii="Times New Roman" w:hAnsi="Times New Roman" w:cs="Times New Roman"/>
            <w:lang w:val="en-GB"/>
          </w:rPr>
          <w:t>www.sweden.gov.se/sb/d/5400/a/43594</w:t>
        </w:r>
      </w:hyperlink>
      <w:r w:rsidRPr="002A3B84">
        <w:rPr>
          <w:rFonts w:ascii="Times New Roman" w:hAnsi="Times New Roman" w:cs="Times New Roman"/>
          <w:lang w:val="en-GB"/>
        </w:rPr>
        <w:t xml:space="preserve"> (2012.08.11.)</w:t>
      </w:r>
    </w:p>
  </w:footnote>
  <w:footnote w:id="79">
    <w:p w:rsidR="00812916" w:rsidRPr="00D36BD1" w:rsidRDefault="00812916" w:rsidP="00D36BD1">
      <w:pPr>
        <w:pStyle w:val="Lbjegyzetszveg"/>
        <w:jc w:val="both"/>
        <w:rPr>
          <w:rFonts w:ascii="Times New Roman" w:hAnsi="Times New Roman" w:cs="Times New Roman"/>
        </w:rPr>
      </w:pPr>
      <w:r w:rsidRPr="002A3B84">
        <w:rPr>
          <w:rStyle w:val="Lbjegyzet-hivatkozs"/>
          <w:lang w:val="en-GB"/>
        </w:rPr>
        <w:footnoteRef/>
      </w:r>
      <w:r w:rsidRPr="002A3B84">
        <w:rPr>
          <w:rFonts w:ascii="Times New Roman" w:hAnsi="Times New Roman" w:cs="Times New Roman"/>
          <w:lang w:val="en-GB"/>
        </w:rPr>
        <w:t>Stefan SPECK et al.: Nordic Council of Ministers, The Use of Economic Instruments in Nordic and Baltic Environmental Policy 2001 – 200</w:t>
      </w:r>
      <w:r w:rsidR="008804A4">
        <w:rPr>
          <w:rFonts w:ascii="Times New Roman" w:hAnsi="Times New Roman" w:cs="Times New Roman"/>
          <w:lang w:val="en-GB"/>
        </w:rPr>
        <w:t xml:space="preserve">5. (2006.), </w:t>
      </w:r>
      <w:r w:rsidRPr="002A3B84">
        <w:rPr>
          <w:rFonts w:ascii="Times New Roman" w:hAnsi="Times New Roman" w:cs="Times New Roman"/>
          <w:lang w:val="en-GB"/>
        </w:rPr>
        <w:t>192. p. (energiaadó, CO</w:t>
      </w:r>
      <w:r w:rsidRPr="002A3B84">
        <w:rPr>
          <w:rFonts w:ascii="Times New Roman" w:hAnsi="Times New Roman" w:cs="Times New Roman"/>
          <w:vertAlign w:val="subscript"/>
          <w:lang w:val="en-GB"/>
        </w:rPr>
        <w:t>2</w:t>
      </w:r>
      <w:r w:rsidRPr="002A3B84">
        <w:rPr>
          <w:rFonts w:ascii="Times New Roman" w:hAnsi="Times New Roman" w:cs="Times New Roman"/>
          <w:lang w:val="en-GB"/>
        </w:rPr>
        <w:t xml:space="preserve"> adó, kénadó, NO</w:t>
      </w:r>
      <w:r w:rsidRPr="002A3B84">
        <w:rPr>
          <w:rFonts w:ascii="Times New Roman" w:hAnsi="Times New Roman" w:cs="Times New Roman"/>
          <w:vertAlign w:val="subscript"/>
          <w:lang w:val="en-GB"/>
        </w:rPr>
        <w:t>X</w:t>
      </w:r>
      <w:r w:rsidRPr="002A3B84">
        <w:rPr>
          <w:rFonts w:ascii="Times New Roman" w:hAnsi="Times New Roman" w:cs="Times New Roman"/>
          <w:lang w:val="en-GB"/>
        </w:rPr>
        <w:t xml:space="preserve"> adó); forrás (2012.08.10.):</w:t>
      </w:r>
      <w:hyperlink r:id="rId22" w:history="1">
        <w:r w:rsidRPr="00CA1492">
          <w:rPr>
            <w:rStyle w:val="Hiperhivatkozs"/>
            <w:rFonts w:ascii="Times New Roman" w:hAnsi="Times New Roman" w:cs="Times New Roman"/>
            <w:lang w:val="en-GB"/>
          </w:rPr>
          <w:t>www.norden.org</w:t>
        </w:r>
      </w:hyperlink>
      <w:r w:rsidRPr="002A3B84">
        <w:rPr>
          <w:rFonts w:ascii="Times New Roman" w:hAnsi="Times New Roman" w:cs="Times New Roman"/>
          <w:lang w:val="en-GB"/>
        </w:rPr>
        <w:t>. Thomas STERNER: Policy Instruments for Environmental and Natural Resource Management, (2003.) Patrik SÖDERHOLM: Extending the environmental tax base: prerequisites for increased taxation of natural resource and chemical compounds (2004.)</w:t>
      </w:r>
    </w:p>
  </w:footnote>
  <w:footnote w:id="80">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SPECK et al. (2006.): </w:t>
      </w:r>
      <w:r w:rsidRPr="00D36BD1">
        <w:rPr>
          <w:rFonts w:ascii="Times New Roman" w:hAnsi="Times New Roman" w:cs="Times New Roman"/>
          <w:i/>
        </w:rPr>
        <w:t>op.cit.</w:t>
      </w:r>
      <w:r w:rsidRPr="00D36BD1">
        <w:rPr>
          <w:rFonts w:ascii="Times New Roman" w:hAnsi="Times New Roman" w:cs="Times New Roman"/>
        </w:rPr>
        <w:t>197.p.</w:t>
      </w:r>
    </w:p>
  </w:footnote>
  <w:footnote w:id="81">
    <w:p w:rsidR="00812916" w:rsidRPr="002A3B84" w:rsidRDefault="00812916" w:rsidP="00D36BD1">
      <w:pPr>
        <w:pStyle w:val="Lbjegyzetszveg"/>
        <w:jc w:val="both"/>
        <w:rPr>
          <w:rFonts w:ascii="Times New Roman" w:hAnsi="Times New Roman" w:cs="Times New Roman"/>
          <w:lang w:val="en-GB"/>
        </w:rPr>
      </w:pPr>
      <w:r w:rsidRPr="00D36BD1">
        <w:rPr>
          <w:rStyle w:val="Lbjegyzet-hivatkozs"/>
        </w:rPr>
        <w:footnoteRef/>
      </w:r>
      <w:r w:rsidRPr="00D36BD1">
        <w:rPr>
          <w:rFonts w:ascii="Times New Roman" w:hAnsi="Times New Roman" w:cs="Times New Roman"/>
        </w:rPr>
        <w:t xml:space="preserve">SPECK et </w:t>
      </w:r>
      <w:r w:rsidRPr="002A3B84">
        <w:rPr>
          <w:rFonts w:ascii="Times New Roman" w:hAnsi="Times New Roman" w:cs="Times New Roman"/>
          <w:lang w:val="en-GB"/>
        </w:rPr>
        <w:t xml:space="preserve">al. (2006.): </w:t>
      </w:r>
      <w:r w:rsidRPr="002A3B84">
        <w:rPr>
          <w:rFonts w:ascii="Times New Roman" w:hAnsi="Times New Roman" w:cs="Times New Roman"/>
          <w:i/>
          <w:lang w:val="en-GB"/>
        </w:rPr>
        <w:t>op.cit</w:t>
      </w:r>
      <w:r w:rsidR="008804A4">
        <w:rPr>
          <w:rFonts w:ascii="Times New Roman" w:hAnsi="Times New Roman" w:cs="Times New Roman"/>
          <w:lang w:val="en-GB"/>
        </w:rPr>
        <w:t>.192.</w:t>
      </w:r>
      <w:r w:rsidRPr="002A3B84">
        <w:rPr>
          <w:rFonts w:ascii="Times New Roman" w:hAnsi="Times New Roman" w:cs="Times New Roman"/>
          <w:lang w:val="en-GB"/>
        </w:rPr>
        <w:t>p.</w:t>
      </w:r>
    </w:p>
  </w:footnote>
  <w:footnote w:id="82">
    <w:p w:rsidR="00812916" w:rsidRPr="002A3B84" w:rsidRDefault="00812916" w:rsidP="00D36BD1">
      <w:pPr>
        <w:pStyle w:val="Lbjegyzetszveg"/>
        <w:jc w:val="both"/>
        <w:rPr>
          <w:rFonts w:ascii="Times New Roman" w:hAnsi="Times New Roman" w:cs="Times New Roman"/>
          <w:lang w:val="en-GB"/>
        </w:rPr>
      </w:pPr>
      <w:r w:rsidRPr="002A3B84">
        <w:rPr>
          <w:rStyle w:val="Lbjegyzet-hivatkozs"/>
          <w:lang w:val="en-GB"/>
        </w:rPr>
        <w:footnoteRef/>
      </w:r>
      <w:r w:rsidRPr="002A3B84">
        <w:rPr>
          <w:rFonts w:ascii="Times New Roman" w:hAnsi="Times New Roman" w:cs="Times New Roman"/>
          <w:lang w:val="en-GB"/>
        </w:rPr>
        <w:t xml:space="preserve">SPECK et al. (2006.): </w:t>
      </w:r>
      <w:r w:rsidRPr="002A3B84">
        <w:rPr>
          <w:rFonts w:ascii="Times New Roman" w:hAnsi="Times New Roman" w:cs="Times New Roman"/>
          <w:i/>
          <w:lang w:val="en-GB"/>
        </w:rPr>
        <w:t>op.cit.</w:t>
      </w:r>
      <w:r w:rsidRPr="002A3B84">
        <w:rPr>
          <w:rFonts w:ascii="Times New Roman" w:hAnsi="Times New Roman" w:cs="Times New Roman"/>
          <w:lang w:val="en-GB"/>
        </w:rPr>
        <w:t>192.</w:t>
      </w:r>
      <w:r w:rsidR="008804A4">
        <w:rPr>
          <w:rFonts w:ascii="Times New Roman" w:hAnsi="Times New Roman" w:cs="Times New Roman"/>
          <w:lang w:val="en-GB"/>
        </w:rPr>
        <w:t>p.</w:t>
      </w:r>
    </w:p>
  </w:footnote>
  <w:footnote w:id="83">
    <w:p w:rsidR="00812916" w:rsidRPr="002A3B84" w:rsidRDefault="00812916" w:rsidP="00D36BD1">
      <w:pPr>
        <w:pStyle w:val="Lbjegyzetszveg"/>
        <w:jc w:val="both"/>
        <w:rPr>
          <w:rFonts w:ascii="Times New Roman" w:hAnsi="Times New Roman" w:cs="Times New Roman"/>
          <w:lang w:val="en-GB"/>
        </w:rPr>
      </w:pPr>
      <w:r w:rsidRPr="002A3B84">
        <w:rPr>
          <w:rStyle w:val="Lbjegyzet-hivatkozs"/>
          <w:lang w:val="en-GB"/>
        </w:rPr>
        <w:footnoteRef/>
      </w:r>
      <w:r w:rsidRPr="002A3B84">
        <w:rPr>
          <w:rFonts w:ascii="Times New Roman" w:hAnsi="Times New Roman" w:cs="Times New Roman"/>
          <w:lang w:val="en-GB"/>
        </w:rPr>
        <w:t xml:space="preserve">SPECK et al. (2006.): </w:t>
      </w:r>
      <w:r w:rsidRPr="002A3B84">
        <w:rPr>
          <w:rFonts w:ascii="Times New Roman" w:hAnsi="Times New Roman" w:cs="Times New Roman"/>
          <w:i/>
          <w:lang w:val="en-GB"/>
        </w:rPr>
        <w:t>op.cit.</w:t>
      </w:r>
      <w:r w:rsidRPr="002A3B84">
        <w:rPr>
          <w:rFonts w:ascii="Times New Roman" w:hAnsi="Times New Roman" w:cs="Times New Roman"/>
          <w:lang w:val="en-GB"/>
        </w:rPr>
        <w:t>119. p. Swedish Ministry of Finance Government, Budget 2008. Higher Carbon Dioxide Tax for Reduced Traffic Emissions, Fact Sheet on the Swedish Government’s Budget Bill for 2008. forrás (2012.07.22.):</w:t>
      </w:r>
      <w:hyperlink r:id="rId23" w:history="1">
        <w:r w:rsidRPr="00CA1492">
          <w:rPr>
            <w:rStyle w:val="Hiperhivatkozs"/>
            <w:rFonts w:ascii="Times New Roman" w:hAnsi="Times New Roman" w:cs="Times New Roman"/>
            <w:lang w:val="en-GB"/>
          </w:rPr>
          <w:t>www.sweden.gov.se/content/1/c6/08/86/13/5e9ed088.pdf</w:t>
        </w:r>
      </w:hyperlink>
      <w:r w:rsidRPr="002A3B84">
        <w:rPr>
          <w:rFonts w:ascii="Times New Roman" w:hAnsi="Times New Roman" w:cs="Times New Roman"/>
          <w:lang w:val="en-GB"/>
        </w:rPr>
        <w:t xml:space="preserve"> </w:t>
      </w:r>
    </w:p>
  </w:footnote>
  <w:footnote w:id="84">
    <w:p w:rsidR="00812916" w:rsidRPr="002A3B84" w:rsidRDefault="00812916" w:rsidP="00D36BD1">
      <w:pPr>
        <w:pStyle w:val="Lbjegyzetszveg"/>
        <w:jc w:val="both"/>
        <w:rPr>
          <w:rFonts w:ascii="Times New Roman" w:hAnsi="Times New Roman" w:cs="Times New Roman"/>
          <w:lang w:val="en-GB"/>
        </w:rPr>
      </w:pPr>
      <w:r w:rsidRPr="002A3B84">
        <w:rPr>
          <w:rStyle w:val="Lbjegyzet-hivatkozs"/>
          <w:lang w:val="en-GB"/>
        </w:rPr>
        <w:footnoteRef/>
      </w:r>
      <w:r w:rsidRPr="002A3B84">
        <w:rPr>
          <w:rFonts w:ascii="Times New Roman" w:hAnsi="Times New Roman" w:cs="Times New Roman"/>
          <w:lang w:val="en-GB"/>
        </w:rPr>
        <w:t xml:space="preserve">SPECK et al. (2006.): </w:t>
      </w:r>
      <w:r w:rsidRPr="002A3B84">
        <w:rPr>
          <w:rFonts w:ascii="Times New Roman" w:hAnsi="Times New Roman" w:cs="Times New Roman"/>
          <w:i/>
          <w:lang w:val="en-GB"/>
        </w:rPr>
        <w:t>op.cit</w:t>
      </w:r>
      <w:r w:rsidR="008804A4">
        <w:rPr>
          <w:rFonts w:ascii="Times New Roman" w:hAnsi="Times New Roman" w:cs="Times New Roman"/>
          <w:lang w:val="en-GB"/>
        </w:rPr>
        <w:t>.193.</w:t>
      </w:r>
      <w:r w:rsidRPr="002A3B84">
        <w:rPr>
          <w:rFonts w:ascii="Times New Roman" w:hAnsi="Times New Roman" w:cs="Times New Roman"/>
          <w:lang w:val="en-GB"/>
        </w:rPr>
        <w:t>p.</w:t>
      </w:r>
    </w:p>
  </w:footnote>
  <w:footnote w:id="85">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Nem a szokásos „tax” megnevezést használja, hanem a „charge” szót</w:t>
      </w:r>
    </w:p>
  </w:footnote>
  <w:footnote w:id="86">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SPECK et al. (2006.): </w:t>
      </w:r>
      <w:r w:rsidRPr="00D36BD1">
        <w:rPr>
          <w:rFonts w:ascii="Times New Roman" w:hAnsi="Times New Roman" w:cs="Times New Roman"/>
          <w:i/>
        </w:rPr>
        <w:t>op.cit.</w:t>
      </w:r>
      <w:r w:rsidR="008804A4">
        <w:rPr>
          <w:rFonts w:ascii="Times New Roman" w:hAnsi="Times New Roman" w:cs="Times New Roman"/>
        </w:rPr>
        <w:t>193.</w:t>
      </w:r>
      <w:r w:rsidRPr="00D36BD1">
        <w:rPr>
          <w:rFonts w:ascii="Times New Roman" w:hAnsi="Times New Roman" w:cs="Times New Roman"/>
        </w:rPr>
        <w:t>p.</w:t>
      </w:r>
    </w:p>
  </w:footnote>
  <w:footnote w:id="87">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Ezzel nem sértettük meg az EU egyik pénzügyi jogi alapelvét, a kettős adóztatást.</w:t>
      </w:r>
    </w:p>
  </w:footnote>
  <w:footnote w:id="88">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Az egyes tagállamok politikái között a svéd az egyik nagy kivétel, és így kevesek által is követett, hiszen az EU-s szinttől nagyban eltér.</w:t>
      </w:r>
    </w:p>
  </w:footnote>
  <w:footnote w:id="89">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SPECK et al. (2006.): </w:t>
      </w:r>
      <w:r w:rsidRPr="00D36BD1">
        <w:rPr>
          <w:rFonts w:ascii="Times New Roman" w:hAnsi="Times New Roman" w:cs="Times New Roman"/>
          <w:i/>
        </w:rPr>
        <w:t>op.cit</w:t>
      </w:r>
      <w:r w:rsidR="008804A4">
        <w:rPr>
          <w:rFonts w:ascii="Times New Roman" w:hAnsi="Times New Roman" w:cs="Times New Roman"/>
        </w:rPr>
        <w:t>.194.</w:t>
      </w:r>
      <w:r w:rsidRPr="00D36BD1">
        <w:rPr>
          <w:rFonts w:ascii="Times New Roman" w:hAnsi="Times New Roman" w:cs="Times New Roman"/>
        </w:rPr>
        <w:t>p.</w:t>
      </w:r>
    </w:p>
  </w:footnote>
  <w:footnote w:id="90">
    <w:p w:rsidR="00812916" w:rsidRPr="002A3B84" w:rsidRDefault="00812916" w:rsidP="00D36BD1">
      <w:pPr>
        <w:pStyle w:val="Lbjegyzetszveg"/>
        <w:jc w:val="both"/>
        <w:rPr>
          <w:rFonts w:ascii="Times New Roman" w:hAnsi="Times New Roman" w:cs="Times New Roman"/>
          <w:lang w:val="en-GB"/>
        </w:rPr>
      </w:pPr>
      <w:r w:rsidRPr="00D36BD1">
        <w:rPr>
          <w:rStyle w:val="Lbjegyzet-hivatkozs"/>
        </w:rPr>
        <w:footnoteRef/>
      </w:r>
      <w:r w:rsidRPr="00D36BD1">
        <w:rPr>
          <w:rFonts w:ascii="Times New Roman" w:hAnsi="Times New Roman" w:cs="Times New Roman"/>
        </w:rPr>
        <w:t xml:space="preserve">Stefan SPECK et </w:t>
      </w:r>
      <w:r w:rsidRPr="002A3B84">
        <w:rPr>
          <w:rFonts w:ascii="Times New Roman" w:hAnsi="Times New Roman" w:cs="Times New Roman"/>
          <w:lang w:val="en-GB"/>
        </w:rPr>
        <w:t>al.: The Reality of Carbon Taxes in the 21</w:t>
      </w:r>
      <w:r w:rsidRPr="002A3B84">
        <w:rPr>
          <w:rFonts w:ascii="Times New Roman" w:hAnsi="Times New Roman" w:cs="Times New Roman"/>
          <w:vertAlign w:val="superscript"/>
          <w:lang w:val="en-GB"/>
        </w:rPr>
        <w:t xml:space="preserve">st </w:t>
      </w:r>
      <w:r w:rsidRPr="002A3B84">
        <w:rPr>
          <w:rFonts w:ascii="Times New Roman" w:hAnsi="Times New Roman" w:cs="Times New Roman"/>
          <w:lang w:val="en-GB"/>
        </w:rPr>
        <w:t>century.</w:t>
      </w:r>
      <w:r w:rsidR="008804A4">
        <w:rPr>
          <w:rFonts w:ascii="Times New Roman" w:hAnsi="Times New Roman" w:cs="Times New Roman"/>
          <w:lang w:val="en-GB"/>
        </w:rPr>
        <w:t xml:space="preserve"> 2008. Vermont Law School.  51.</w:t>
      </w:r>
      <w:r w:rsidRPr="002A3B84">
        <w:rPr>
          <w:rFonts w:ascii="Times New Roman" w:hAnsi="Times New Roman" w:cs="Times New Roman"/>
          <w:lang w:val="en-GB"/>
        </w:rPr>
        <w:t xml:space="preserve">p; forrás (2012. 08.27.): </w:t>
      </w:r>
      <w:hyperlink r:id="rId24" w:history="1">
        <w:r w:rsidRPr="00CA1492">
          <w:rPr>
            <w:rStyle w:val="Hiperhivatkozs"/>
            <w:rFonts w:ascii="Times New Roman" w:hAnsi="Times New Roman" w:cs="Times New Roman"/>
            <w:lang w:val="en-GB"/>
          </w:rPr>
          <w:t>www.vermontlaw.edu</w:t>
        </w:r>
      </w:hyperlink>
    </w:p>
  </w:footnote>
  <w:footnote w:id="91">
    <w:p w:rsidR="00812916" w:rsidRPr="002A3B84" w:rsidRDefault="00812916" w:rsidP="00D36BD1">
      <w:pPr>
        <w:pStyle w:val="Lbjegyzetszveg"/>
        <w:jc w:val="both"/>
        <w:rPr>
          <w:rFonts w:ascii="Times New Roman" w:hAnsi="Times New Roman" w:cs="Times New Roman"/>
          <w:lang w:val="en-GB"/>
        </w:rPr>
      </w:pPr>
      <w:r w:rsidRPr="002A3B84">
        <w:rPr>
          <w:rStyle w:val="Lbjegyzet-hivatkozs"/>
          <w:lang w:val="en-GB"/>
        </w:rPr>
        <w:footnoteRef/>
      </w:r>
      <w:r w:rsidRPr="002A3B84">
        <w:rPr>
          <w:rFonts w:ascii="Times New Roman" w:hAnsi="Times New Roman" w:cs="Times New Roman"/>
          <w:lang w:val="en-GB"/>
        </w:rPr>
        <w:t>Working Paper</w:t>
      </w:r>
      <w:r>
        <w:rPr>
          <w:rFonts w:ascii="Times New Roman" w:hAnsi="Times New Roman" w:cs="Times New Roman"/>
          <w:lang w:val="en-GB"/>
        </w:rPr>
        <w:t xml:space="preserve"> (2007)</w:t>
      </w:r>
      <w:r w:rsidRPr="002A3B84">
        <w:rPr>
          <w:rFonts w:ascii="Times New Roman" w:hAnsi="Times New Roman" w:cs="Times New Roman"/>
          <w:lang w:val="en-GB"/>
        </w:rPr>
        <w:t xml:space="preserve">: Overview of Environmental Tax Reform in EU Member States, in Competitiveness Effects of Environmental </w:t>
      </w:r>
      <w:r w:rsidR="008804A4">
        <w:rPr>
          <w:rFonts w:ascii="Times New Roman" w:hAnsi="Times New Roman" w:cs="Times New Roman"/>
          <w:lang w:val="en-GB"/>
        </w:rPr>
        <w:t>Tax Reforms, 22, WP.1, 2007. 48.</w:t>
      </w:r>
      <w:r w:rsidRPr="002A3B84">
        <w:rPr>
          <w:rFonts w:ascii="Times New Roman" w:hAnsi="Times New Roman" w:cs="Times New Roman"/>
          <w:lang w:val="en-GB"/>
        </w:rPr>
        <w:t>p; forrás (2012.08.02.):</w:t>
      </w:r>
      <w:hyperlink r:id="rId25" w:history="1">
        <w:r w:rsidRPr="00CA1492">
          <w:rPr>
            <w:rStyle w:val="Hiperhivatkozs"/>
            <w:rFonts w:ascii="Times New Roman" w:hAnsi="Times New Roman" w:cs="Times New Roman"/>
            <w:lang w:val="en-GB"/>
          </w:rPr>
          <w:t>www2.dmu.dk</w:t>
        </w:r>
      </w:hyperlink>
    </w:p>
  </w:footnote>
  <w:footnote w:id="92">
    <w:p w:rsidR="00812916" w:rsidRPr="00D36BD1" w:rsidRDefault="00812916" w:rsidP="00D36BD1">
      <w:pPr>
        <w:pStyle w:val="Lbjegyzetszveg"/>
        <w:jc w:val="both"/>
        <w:rPr>
          <w:rFonts w:ascii="Times New Roman" w:hAnsi="Times New Roman" w:cs="Times New Roman"/>
        </w:rPr>
      </w:pPr>
      <w:r w:rsidRPr="002A3B84">
        <w:rPr>
          <w:rStyle w:val="Lbjegyzet-hivatkozs"/>
          <w:lang w:val="en-GB"/>
        </w:rPr>
        <w:footnoteRef/>
      </w:r>
      <w:r w:rsidRPr="002A3B84">
        <w:rPr>
          <w:rFonts w:ascii="Times New Roman" w:hAnsi="Times New Roman" w:cs="Times New Roman"/>
          <w:lang w:val="en-GB"/>
        </w:rPr>
        <w:t xml:space="preserve">Working Paper: Overview of Environmental Tax Reform in EU Member States (2007): </w:t>
      </w:r>
      <w:r w:rsidRPr="002A3B84">
        <w:rPr>
          <w:rFonts w:ascii="Times New Roman" w:hAnsi="Times New Roman" w:cs="Times New Roman"/>
          <w:i/>
          <w:lang w:val="en-GB"/>
        </w:rPr>
        <w:t>op.cit.</w:t>
      </w:r>
      <w:r w:rsidRPr="002A3B84">
        <w:rPr>
          <w:rFonts w:ascii="Times New Roman" w:hAnsi="Times New Roman" w:cs="Times New Roman"/>
          <w:lang w:val="en-GB"/>
        </w:rPr>
        <w:t>48.p.</w:t>
      </w:r>
    </w:p>
  </w:footnote>
  <w:footnote w:id="93">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SPECK et al. (2006.): </w:t>
      </w:r>
      <w:r w:rsidRPr="00D36BD1">
        <w:rPr>
          <w:rFonts w:ascii="Times New Roman" w:hAnsi="Times New Roman" w:cs="Times New Roman"/>
          <w:i/>
        </w:rPr>
        <w:t>op.cit</w:t>
      </w:r>
      <w:r w:rsidR="008804A4">
        <w:rPr>
          <w:rFonts w:ascii="Times New Roman" w:hAnsi="Times New Roman" w:cs="Times New Roman"/>
        </w:rPr>
        <w:t>.194.</w:t>
      </w:r>
      <w:r w:rsidRPr="00D36BD1">
        <w:rPr>
          <w:rFonts w:ascii="Times New Roman" w:hAnsi="Times New Roman" w:cs="Times New Roman"/>
        </w:rPr>
        <w:t>p.</w:t>
      </w:r>
    </w:p>
  </w:footnote>
  <w:footnote w:id="94">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Hazánkban az energiaadó szabályozásában nem jelöltek meg adókedvezményt élvező gazdasági szektorokat.</w:t>
      </w:r>
    </w:p>
  </w:footnote>
  <w:footnote w:id="95">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SPECK et al. (2006.): </w:t>
      </w:r>
      <w:r w:rsidRPr="00D36BD1">
        <w:rPr>
          <w:rFonts w:ascii="Times New Roman" w:hAnsi="Times New Roman" w:cs="Times New Roman"/>
          <w:i/>
        </w:rPr>
        <w:t>op.cit</w:t>
      </w:r>
      <w:r w:rsidR="008804A4">
        <w:rPr>
          <w:rFonts w:ascii="Times New Roman" w:hAnsi="Times New Roman" w:cs="Times New Roman"/>
        </w:rPr>
        <w:t>.194.</w:t>
      </w:r>
      <w:r w:rsidRPr="00D36BD1">
        <w:rPr>
          <w:rFonts w:ascii="Times New Roman" w:hAnsi="Times New Roman" w:cs="Times New Roman"/>
        </w:rPr>
        <w:t>p.</w:t>
      </w:r>
    </w:p>
  </w:footnote>
  <w:footnote w:id="96">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Ez 2007-ben a teljes adónak a 21%-át jelentette.</w:t>
      </w:r>
    </w:p>
  </w:footnote>
  <w:footnote w:id="97">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A környező országokkal ellentétben a svédek a villamos energiát két forrásból nyerik: a vízenergiából és a nukleáris energiából. Ezzel magyarázható, hogy relatíve alacsony ezen ipari szektor kapcsán az üvegházgázok kibocsátása.</w:t>
      </w:r>
    </w:p>
  </w:footnote>
  <w:footnote w:id="98">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1991-óta folyamatosan átalakították a rendszert. A legfőbb elv az volt, hogy az ipar és a villamos energia előállítás számára alacsonyabb adóterhet vessenek ki, mint a többi szektorra. in:</w:t>
      </w:r>
      <w:r w:rsidRPr="002A3B84">
        <w:rPr>
          <w:rFonts w:ascii="Times New Roman" w:hAnsi="Times New Roman" w:cs="Times New Roman"/>
          <w:lang w:val="en-GB"/>
        </w:rPr>
        <w:t xml:space="preserve"> Dörte FOUQUET et al.: Energy and Environmental Tax Models From Europe and Their Link to Other Instruments for Sustainability: Policy Evaluation and Dynamics of </w:t>
      </w:r>
      <w:r w:rsidR="008804A4">
        <w:rPr>
          <w:rFonts w:ascii="Times New Roman" w:hAnsi="Times New Roman" w:cs="Times New Roman"/>
          <w:lang w:val="en-GB"/>
        </w:rPr>
        <w:t>Regional Integration. 14.</w:t>
      </w:r>
      <w:r w:rsidRPr="002A3B84">
        <w:rPr>
          <w:rFonts w:ascii="Times New Roman" w:hAnsi="Times New Roman" w:cs="Times New Roman"/>
          <w:lang w:val="en-GB"/>
        </w:rPr>
        <w:t>p; forrás (2012.08.09.):</w:t>
      </w:r>
      <w:hyperlink r:id="rId26" w:history="1">
        <w:r w:rsidRPr="00CA1492">
          <w:rPr>
            <w:rStyle w:val="Hiperhivatkozs"/>
            <w:rFonts w:ascii="Times New Roman" w:hAnsi="Times New Roman" w:cs="Times New Roman"/>
            <w:lang w:val="en-GB"/>
          </w:rPr>
          <w:t>www.energytoolbox.org</w:t>
        </w:r>
      </w:hyperlink>
    </w:p>
  </w:footnote>
  <w:footnote w:id="99">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Environmental Tax Reform = környezetvédelmi adóreform. A Bizottság központi kezdeményezése, amelynek az Európai Unió szintjén és a tagállamok szintjén is meg kell valósulnia. Sokan az Ecological Tax Reform rövidítéseként is használják, ez a németek vonatkozásában jelenik meg a külföldi szakirodalomban.</w:t>
      </w:r>
    </w:p>
  </w:footnote>
  <w:footnote w:id="100">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2004-ig az ipari fogyasztók nem fizettek energiaadót és az általános szénadónak is csak az 50 %-át.</w:t>
      </w:r>
    </w:p>
  </w:footnote>
  <w:footnote w:id="101">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A változás az Energiaadó Irányelv elfogadásával következett be. Lásd a részleteket a II.</w:t>
      </w:r>
      <w:r w:rsidRPr="00D36BD1">
        <w:rPr>
          <w:rFonts w:ascii="Times New Roman" w:hAnsi="Times New Roman" w:cs="Times New Roman"/>
          <w:b/>
          <w:color w:val="FF0000"/>
        </w:rPr>
        <w:t xml:space="preserve"> </w:t>
      </w:r>
      <w:r w:rsidRPr="00D36BD1">
        <w:rPr>
          <w:rFonts w:ascii="Times New Roman" w:hAnsi="Times New Roman" w:cs="Times New Roman"/>
        </w:rPr>
        <w:t>fejezetben.</w:t>
      </w:r>
    </w:p>
  </w:footnote>
  <w:footnote w:id="102">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Így a hatása ugyanaz, mint a korábbi adórendszernek. Lásd továbbá 2003/96/EK Tanácsi irányelv 15. cikkét. Így ez a szakpolitika teljesen harmonizált a 2003-as irányelv rendelkezéseivel.</w:t>
      </w:r>
    </w:p>
  </w:footnote>
  <w:footnote w:id="103">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FOUQUET et al.: </w:t>
      </w:r>
      <w:r w:rsidRPr="00D36BD1">
        <w:rPr>
          <w:rFonts w:ascii="Times New Roman" w:hAnsi="Times New Roman" w:cs="Times New Roman"/>
          <w:i/>
        </w:rPr>
        <w:t>op.cit</w:t>
      </w:r>
      <w:r w:rsidR="008804A4">
        <w:rPr>
          <w:rFonts w:ascii="Times New Roman" w:hAnsi="Times New Roman" w:cs="Times New Roman"/>
        </w:rPr>
        <w:t>.15.</w:t>
      </w:r>
      <w:r w:rsidRPr="00D36BD1">
        <w:rPr>
          <w:rFonts w:ascii="Times New Roman" w:hAnsi="Times New Roman" w:cs="Times New Roman"/>
        </w:rPr>
        <w:t>p.</w:t>
      </w:r>
    </w:p>
  </w:footnote>
  <w:footnote w:id="104">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SZAKÁCS Imre (2010): Az adózás nagy kézikönyv</w:t>
      </w:r>
      <w:r w:rsidR="008804A4">
        <w:rPr>
          <w:rFonts w:ascii="Times New Roman" w:hAnsi="Times New Roman" w:cs="Times New Roman"/>
        </w:rPr>
        <w:t>e. Budapest, Complex Kiadó, 592.</w:t>
      </w:r>
      <w:r w:rsidRPr="00D36BD1">
        <w:rPr>
          <w:rFonts w:ascii="Times New Roman" w:hAnsi="Times New Roman" w:cs="Times New Roman"/>
        </w:rPr>
        <w:t>p.</w:t>
      </w:r>
    </w:p>
  </w:footnote>
  <w:footnote w:id="105">
    <w:p w:rsidR="00812916" w:rsidRPr="00D36BD1" w:rsidRDefault="00812916" w:rsidP="00D36BD1">
      <w:pPr>
        <w:pStyle w:val="Lbjegyzetszveg"/>
        <w:jc w:val="both"/>
        <w:rPr>
          <w:rFonts w:ascii="Times New Roman" w:hAnsi="Times New Roman" w:cs="Times New Roman"/>
        </w:rPr>
      </w:pPr>
      <w:r w:rsidRPr="002A3B84">
        <w:rPr>
          <w:rStyle w:val="Lbjegyzet-hivatkozs"/>
          <w:lang w:val="en-GB"/>
        </w:rPr>
        <w:footnoteRef/>
      </w:r>
      <w:r w:rsidRPr="002A3B84">
        <w:rPr>
          <w:rFonts w:ascii="Times New Roman" w:hAnsi="Times New Roman" w:cs="Times New Roman"/>
          <w:lang w:val="en-GB"/>
        </w:rPr>
        <w:t>Working Paper</w:t>
      </w:r>
      <w:r>
        <w:rPr>
          <w:rFonts w:ascii="Times New Roman" w:hAnsi="Times New Roman" w:cs="Times New Roman"/>
          <w:lang w:val="en-GB"/>
        </w:rPr>
        <w:t xml:space="preserve"> (2007) </w:t>
      </w:r>
      <w:r>
        <w:rPr>
          <w:rFonts w:ascii="Times New Roman" w:hAnsi="Times New Roman" w:cs="Times New Roman"/>
          <w:i/>
          <w:lang w:val="en-GB"/>
        </w:rPr>
        <w:t>op.cit.</w:t>
      </w:r>
    </w:p>
  </w:footnote>
  <w:footnote w:id="106">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Lásd részletesen a hazai szabályozásról szóló III.4. fejezetet.</w:t>
      </w:r>
    </w:p>
  </w:footnote>
  <w:footnote w:id="107">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A szakirodalomban ez az ún. tax shifting jelenség. A svédek a többi európai országgal ellentétben a jövedelemadó mértékét kívánták meg csökkenteni, miközben az energiatermékeket terhelő adók mértékét pedig növelni akarták. Ettől nagyobb zöld adóreformot 2004-ben végeztek, amikor is közel 3,3 milliárd eurót fordítottak a reformara, amely elsődlegesen az energiaadók növelését és a bevételeket terhelő adók mértékének a csökkentését célozta.</w:t>
      </w:r>
    </w:p>
  </w:footnote>
  <w:footnote w:id="108">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A bevételeknek a mértéke évente kb. a GDP 1,2%-nak megfelelő összeget tett ki.</w:t>
      </w:r>
    </w:p>
  </w:footnote>
  <w:footnote w:id="109">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FOUQUET et al.: </w:t>
      </w:r>
      <w:r w:rsidRPr="00D36BD1">
        <w:rPr>
          <w:rFonts w:ascii="Times New Roman" w:hAnsi="Times New Roman" w:cs="Times New Roman"/>
          <w:i/>
        </w:rPr>
        <w:t>op.cit</w:t>
      </w:r>
      <w:r w:rsidR="008804A4">
        <w:rPr>
          <w:rFonts w:ascii="Times New Roman" w:hAnsi="Times New Roman" w:cs="Times New Roman"/>
        </w:rPr>
        <w:t>.15.</w:t>
      </w:r>
      <w:r w:rsidRPr="00D36BD1">
        <w:rPr>
          <w:rFonts w:ascii="Times New Roman" w:hAnsi="Times New Roman" w:cs="Times New Roman"/>
        </w:rPr>
        <w:t>p.</w:t>
      </w:r>
    </w:p>
  </w:footnote>
  <w:footnote w:id="110">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hyperlink r:id="rId27" w:history="1">
        <w:r w:rsidRPr="00CA1492">
          <w:rPr>
            <w:rStyle w:val="Hiperhivatkozs"/>
            <w:rFonts w:ascii="Times New Roman" w:hAnsi="Times New Roman" w:cs="Times New Roman"/>
          </w:rPr>
          <w:t>www.sweden.gov.se/sb/d/4426/a/30550</w:t>
        </w:r>
      </w:hyperlink>
      <w:r w:rsidRPr="00D36BD1">
        <w:rPr>
          <w:rFonts w:ascii="Times New Roman" w:hAnsi="Times New Roman" w:cs="Times New Roman"/>
        </w:rPr>
        <w:t>.</w:t>
      </w:r>
      <w:r>
        <w:rPr>
          <w:rFonts w:ascii="Times New Roman" w:hAnsi="Times New Roman" w:cs="Times New Roman"/>
        </w:rPr>
        <w:t>(2012.08.14.)</w:t>
      </w:r>
    </w:p>
  </w:footnote>
  <w:footnote w:id="111">
    <w:p w:rsidR="00812916" w:rsidRPr="002A3B84" w:rsidRDefault="00812916" w:rsidP="00D36BD1">
      <w:pPr>
        <w:pStyle w:val="Lbjegyzetszveg"/>
        <w:jc w:val="both"/>
        <w:rPr>
          <w:rFonts w:ascii="Times New Roman" w:hAnsi="Times New Roman" w:cs="Times New Roman"/>
          <w:lang w:val="en-GB"/>
        </w:rPr>
      </w:pPr>
      <w:r w:rsidRPr="00D36BD1">
        <w:rPr>
          <w:rStyle w:val="Lbjegyzet-hivatkozs"/>
        </w:rPr>
        <w:footnoteRef/>
      </w:r>
      <w:r w:rsidRPr="002A3B84">
        <w:rPr>
          <w:rFonts w:ascii="Times New Roman" w:hAnsi="Times New Roman" w:cs="Times New Roman"/>
          <w:lang w:val="en-GB"/>
        </w:rPr>
        <w:t>Local Investments Programmes.</w:t>
      </w:r>
    </w:p>
  </w:footnote>
  <w:footnote w:id="112">
    <w:p w:rsidR="00812916" w:rsidRPr="002A3B84" w:rsidRDefault="00812916" w:rsidP="00D36BD1">
      <w:pPr>
        <w:pStyle w:val="Lbjegyzetszveg"/>
        <w:jc w:val="both"/>
        <w:rPr>
          <w:rFonts w:ascii="Times New Roman" w:hAnsi="Times New Roman" w:cs="Times New Roman"/>
          <w:lang w:val="en-GB"/>
        </w:rPr>
      </w:pPr>
      <w:r w:rsidRPr="002A3B84">
        <w:rPr>
          <w:rStyle w:val="Lbjegyzet-hivatkozs"/>
          <w:lang w:val="en-GB"/>
        </w:rPr>
        <w:footnoteRef/>
      </w:r>
      <w:r w:rsidRPr="002A3B84">
        <w:rPr>
          <w:rFonts w:ascii="Times New Roman" w:hAnsi="Times New Roman" w:cs="Times New Roman"/>
          <w:lang w:val="en-GB"/>
        </w:rPr>
        <w:t>Climate Investment Programmes.</w:t>
      </w:r>
    </w:p>
  </w:footnote>
  <w:footnote w:id="113">
    <w:p w:rsidR="00812916" w:rsidRPr="002A3B84" w:rsidRDefault="00812916" w:rsidP="00D36BD1">
      <w:pPr>
        <w:pStyle w:val="Lbjegyzetszveg"/>
        <w:jc w:val="both"/>
        <w:rPr>
          <w:rFonts w:ascii="Times New Roman" w:hAnsi="Times New Roman" w:cs="Times New Roman"/>
          <w:lang w:val="en-GB"/>
        </w:rPr>
      </w:pPr>
      <w:r w:rsidRPr="002A3B84">
        <w:rPr>
          <w:rStyle w:val="Lbjegyzet-hivatkozs"/>
          <w:lang w:val="en-GB"/>
        </w:rPr>
        <w:footnoteRef/>
      </w:r>
      <w:hyperlink r:id="rId28" w:history="1">
        <w:r w:rsidRPr="00CA1492">
          <w:rPr>
            <w:rStyle w:val="Hiperhivatkozs"/>
            <w:rFonts w:ascii="Times New Roman" w:hAnsi="Times New Roman" w:cs="Times New Roman"/>
            <w:lang w:val="en-GB"/>
          </w:rPr>
          <w:t>www.sweden.gov.se/sb/d/5400/a/43594</w:t>
        </w:r>
      </w:hyperlink>
      <w:r w:rsidRPr="002A3B84">
        <w:rPr>
          <w:rFonts w:ascii="Times New Roman" w:hAnsi="Times New Roman" w:cs="Times New Roman"/>
          <w:lang w:val="en-GB"/>
        </w:rPr>
        <w:t>.(2012.07.23.)</w:t>
      </w:r>
    </w:p>
  </w:footnote>
  <w:footnote w:id="114">
    <w:p w:rsidR="00812916" w:rsidRPr="002A3B84" w:rsidRDefault="00812916" w:rsidP="00D36BD1">
      <w:pPr>
        <w:pStyle w:val="Lbjegyzetszveg"/>
        <w:jc w:val="both"/>
        <w:rPr>
          <w:rFonts w:ascii="Times New Roman" w:hAnsi="Times New Roman" w:cs="Times New Roman"/>
          <w:lang w:val="en-GB"/>
        </w:rPr>
      </w:pPr>
      <w:r w:rsidRPr="002A3B84">
        <w:rPr>
          <w:rStyle w:val="Lbjegyzet-hivatkozs"/>
          <w:lang w:val="en-GB"/>
        </w:rPr>
        <w:footnoteRef/>
      </w:r>
      <w:r w:rsidRPr="002A3B84">
        <w:rPr>
          <w:rFonts w:ascii="Times New Roman" w:hAnsi="Times New Roman" w:cs="Times New Roman"/>
          <w:lang w:val="en-GB"/>
        </w:rPr>
        <w:t>2002 és 2006 között a Klimp programra 100 millió eurós támogatásokat fizettek ki.</w:t>
      </w:r>
    </w:p>
  </w:footnote>
  <w:footnote w:id="115">
    <w:p w:rsidR="00812916" w:rsidRPr="00D36BD1" w:rsidRDefault="00812916" w:rsidP="00D36BD1">
      <w:pPr>
        <w:pStyle w:val="Lbjegyzetszveg"/>
        <w:jc w:val="both"/>
        <w:rPr>
          <w:rFonts w:ascii="Times New Roman" w:hAnsi="Times New Roman" w:cs="Times New Roman"/>
        </w:rPr>
      </w:pPr>
      <w:r w:rsidRPr="002A3B84">
        <w:rPr>
          <w:rStyle w:val="Lbjegyzet-hivatkozs"/>
          <w:lang w:val="en-GB"/>
        </w:rPr>
        <w:footnoteRef/>
      </w:r>
      <w:r w:rsidRPr="002A3B84">
        <w:rPr>
          <w:rFonts w:ascii="Times New Roman" w:hAnsi="Times New Roman" w:cs="Times New Roman"/>
          <w:lang w:val="en-GB"/>
        </w:rPr>
        <w:t>Swedish Environmental Protection Agency (SEPA): „Environmental Taxes in Sweden – Economic Instruments of Environmental Po</w:t>
      </w:r>
      <w:r w:rsidR="008804A4">
        <w:rPr>
          <w:rFonts w:ascii="Times New Roman" w:hAnsi="Times New Roman" w:cs="Times New Roman"/>
          <w:lang w:val="en-GB"/>
        </w:rPr>
        <w:t>licy.” Report 4745. (1997.) 52.</w:t>
      </w:r>
      <w:r w:rsidRPr="002A3B84">
        <w:rPr>
          <w:rFonts w:ascii="Times New Roman" w:hAnsi="Times New Roman" w:cs="Times New Roman"/>
          <w:lang w:val="en-GB"/>
        </w:rPr>
        <w:t>p; forrás (2012.08.23.):</w:t>
      </w:r>
      <w:hyperlink r:id="rId29" w:history="1">
        <w:r w:rsidRPr="00CA1492">
          <w:rPr>
            <w:rStyle w:val="Hiperhivatkozs"/>
            <w:rFonts w:ascii="Times New Roman" w:hAnsi="Times New Roman" w:cs="Times New Roman"/>
            <w:lang w:val="en-GB"/>
          </w:rPr>
          <w:t>www-sekon.slu.se</w:t>
        </w:r>
      </w:hyperlink>
    </w:p>
  </w:footnote>
  <w:footnote w:id="116">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FOUQUET et al.: </w:t>
      </w:r>
      <w:r w:rsidRPr="00D36BD1">
        <w:rPr>
          <w:rFonts w:ascii="Times New Roman" w:hAnsi="Times New Roman" w:cs="Times New Roman"/>
          <w:i/>
        </w:rPr>
        <w:t>op.cit</w:t>
      </w:r>
      <w:r w:rsidR="008804A4">
        <w:rPr>
          <w:rFonts w:ascii="Times New Roman" w:hAnsi="Times New Roman" w:cs="Times New Roman"/>
        </w:rPr>
        <w:t>.17.</w:t>
      </w:r>
      <w:r w:rsidRPr="00D36BD1">
        <w:rPr>
          <w:rFonts w:ascii="Times New Roman" w:hAnsi="Times New Roman" w:cs="Times New Roman"/>
        </w:rPr>
        <w:t>p.</w:t>
      </w:r>
    </w:p>
  </w:footnote>
  <w:footnote w:id="117">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KLOK (2002): </w:t>
      </w:r>
      <w:r w:rsidRPr="00D36BD1">
        <w:rPr>
          <w:rFonts w:ascii="Times New Roman" w:hAnsi="Times New Roman" w:cs="Times New Roman"/>
          <w:i/>
        </w:rPr>
        <w:t>op.cit.</w:t>
      </w:r>
      <w:r w:rsidR="008804A4">
        <w:rPr>
          <w:rFonts w:ascii="Times New Roman" w:hAnsi="Times New Roman" w:cs="Times New Roman"/>
        </w:rPr>
        <w:t>55.</w:t>
      </w:r>
      <w:r w:rsidRPr="00D36BD1">
        <w:rPr>
          <w:rFonts w:ascii="Times New Roman" w:hAnsi="Times New Roman" w:cs="Times New Roman"/>
        </w:rPr>
        <w:t>p.</w:t>
      </w:r>
    </w:p>
  </w:footnote>
  <w:footnote w:id="118">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Working Paper (2007): </w:t>
      </w:r>
      <w:r w:rsidRPr="00D36BD1">
        <w:rPr>
          <w:rFonts w:ascii="Times New Roman" w:hAnsi="Times New Roman" w:cs="Times New Roman"/>
          <w:i/>
        </w:rPr>
        <w:t>op.cit</w:t>
      </w:r>
      <w:r w:rsidR="008804A4">
        <w:rPr>
          <w:rFonts w:ascii="Times New Roman" w:hAnsi="Times New Roman" w:cs="Times New Roman"/>
        </w:rPr>
        <w:t>.40.</w:t>
      </w:r>
      <w:r w:rsidRPr="00D36BD1">
        <w:rPr>
          <w:rFonts w:ascii="Times New Roman" w:hAnsi="Times New Roman" w:cs="Times New Roman"/>
        </w:rPr>
        <w:t>p.</w:t>
      </w:r>
    </w:p>
  </w:footnote>
  <w:footnote w:id="119">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Working Paper (2007): </w:t>
      </w:r>
      <w:r w:rsidRPr="00D36BD1">
        <w:rPr>
          <w:rFonts w:ascii="Times New Roman" w:hAnsi="Times New Roman" w:cs="Times New Roman"/>
          <w:i/>
        </w:rPr>
        <w:t>op.cit</w:t>
      </w:r>
      <w:r w:rsidRPr="00D36BD1">
        <w:rPr>
          <w:rFonts w:ascii="Times New Roman" w:hAnsi="Times New Roman" w:cs="Times New Roman"/>
        </w:rPr>
        <w:t>.40.p</w:t>
      </w:r>
    </w:p>
  </w:footnote>
  <w:footnote w:id="120">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Working Paper (2007): </w:t>
      </w:r>
      <w:r w:rsidRPr="00D36BD1">
        <w:rPr>
          <w:rFonts w:ascii="Times New Roman" w:hAnsi="Times New Roman" w:cs="Times New Roman"/>
          <w:i/>
        </w:rPr>
        <w:t>op.cit</w:t>
      </w:r>
      <w:r w:rsidR="008804A4">
        <w:rPr>
          <w:rFonts w:ascii="Times New Roman" w:hAnsi="Times New Roman" w:cs="Times New Roman"/>
        </w:rPr>
        <w:t>.40.</w:t>
      </w:r>
      <w:r w:rsidRPr="00D36BD1">
        <w:rPr>
          <w:rFonts w:ascii="Times New Roman" w:hAnsi="Times New Roman" w:cs="Times New Roman"/>
        </w:rPr>
        <w:t>p</w:t>
      </w:r>
    </w:p>
  </w:footnote>
  <w:footnote w:id="121">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Mindig is nagyon ambiciózusak voltak a CO</w:t>
      </w:r>
      <w:r w:rsidRPr="00D36BD1">
        <w:rPr>
          <w:rFonts w:ascii="Times New Roman" w:hAnsi="Times New Roman" w:cs="Times New Roman"/>
          <w:vertAlign w:val="subscript"/>
        </w:rPr>
        <w:t xml:space="preserve">2 </w:t>
      </w:r>
      <w:r w:rsidRPr="00D36BD1">
        <w:rPr>
          <w:rFonts w:ascii="Times New Roman" w:hAnsi="Times New Roman" w:cs="Times New Roman"/>
        </w:rPr>
        <w:t>területén, hiszen már 1990-ben vállalták – és a többi tagállamnak is javasolták, hogy kövessék a jó példájukat – hogy 2005-re az 1987-es szinthez viszonyítva 25%-kal csökkentik a káros gázok kibocsátását. Ennek érdekében született meg az ETR reform is.</w:t>
      </w:r>
    </w:p>
  </w:footnote>
  <w:footnote w:id="122">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Mint a CO</w:t>
      </w:r>
      <w:r w:rsidRPr="00D36BD1">
        <w:rPr>
          <w:rFonts w:ascii="Times New Roman" w:hAnsi="Times New Roman" w:cs="Times New Roman"/>
          <w:vertAlign w:val="subscript"/>
        </w:rPr>
        <w:t xml:space="preserve">2, </w:t>
      </w:r>
      <w:r w:rsidRPr="00D36BD1">
        <w:rPr>
          <w:rFonts w:ascii="Times New Roman" w:hAnsi="Times New Roman" w:cs="Times New Roman"/>
        </w:rPr>
        <w:t>CH</w:t>
      </w:r>
      <w:r w:rsidRPr="00D36BD1">
        <w:rPr>
          <w:rFonts w:ascii="Times New Roman" w:hAnsi="Times New Roman" w:cs="Times New Roman"/>
          <w:vertAlign w:val="subscript"/>
        </w:rPr>
        <w:t>4</w:t>
      </w:r>
      <w:r w:rsidRPr="00D36BD1">
        <w:rPr>
          <w:rFonts w:ascii="Times New Roman" w:hAnsi="Times New Roman" w:cs="Times New Roman"/>
        </w:rPr>
        <w:t>, és NO</w:t>
      </w:r>
      <w:r w:rsidRPr="00D36BD1">
        <w:rPr>
          <w:rFonts w:ascii="Times New Roman" w:hAnsi="Times New Roman" w:cs="Times New Roman"/>
          <w:vertAlign w:val="subscript"/>
        </w:rPr>
        <w:t>2</w:t>
      </w:r>
      <w:r w:rsidRPr="00D36BD1">
        <w:rPr>
          <w:rFonts w:ascii="Times New Roman" w:hAnsi="Times New Roman" w:cs="Times New Roman"/>
        </w:rPr>
        <w:t>.</w:t>
      </w:r>
    </w:p>
  </w:footnote>
  <w:footnote w:id="123">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FOUQUET et al.: </w:t>
      </w:r>
      <w:r w:rsidRPr="00D36BD1">
        <w:rPr>
          <w:rFonts w:ascii="Times New Roman" w:hAnsi="Times New Roman" w:cs="Times New Roman"/>
          <w:i/>
        </w:rPr>
        <w:t>op.cit.</w:t>
      </w:r>
      <w:r w:rsidR="008804A4">
        <w:rPr>
          <w:rFonts w:ascii="Times New Roman" w:hAnsi="Times New Roman" w:cs="Times New Roman"/>
        </w:rPr>
        <w:t>20.</w:t>
      </w:r>
      <w:r w:rsidRPr="00D36BD1">
        <w:rPr>
          <w:rFonts w:ascii="Times New Roman" w:hAnsi="Times New Roman" w:cs="Times New Roman"/>
        </w:rPr>
        <w:t>p.</w:t>
      </w:r>
    </w:p>
  </w:footnote>
  <w:footnote w:id="124">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Tulajdonképpen az energiaadó felépítése nagyban hasonlít a svéd megoldáshoz, de nem annyira cizellált. A magyar rendszerben az ásványi olajok a jövedéki adó tárgyi hatálya alá tartoznak, de ettől eltekintve az adó tárgyak megegyeznek a német rendszerével.  </w:t>
      </w:r>
    </w:p>
  </w:footnote>
  <w:footnote w:id="125">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Working Paper (2007): </w:t>
      </w:r>
      <w:r w:rsidRPr="00D36BD1">
        <w:rPr>
          <w:rFonts w:ascii="Times New Roman" w:hAnsi="Times New Roman" w:cs="Times New Roman"/>
          <w:i/>
        </w:rPr>
        <w:t>op.cit.</w:t>
      </w:r>
      <w:r w:rsidR="008804A4">
        <w:rPr>
          <w:rFonts w:ascii="Times New Roman" w:hAnsi="Times New Roman" w:cs="Times New Roman"/>
        </w:rPr>
        <w:t>41.</w:t>
      </w:r>
      <w:r w:rsidRPr="00D36BD1">
        <w:rPr>
          <w:rFonts w:ascii="Times New Roman" w:hAnsi="Times New Roman" w:cs="Times New Roman"/>
        </w:rPr>
        <w:t>p.</w:t>
      </w:r>
    </w:p>
  </w:footnote>
  <w:footnote w:id="126">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Working Paper (2007): </w:t>
      </w:r>
      <w:r w:rsidRPr="00D36BD1">
        <w:rPr>
          <w:rFonts w:ascii="Times New Roman" w:hAnsi="Times New Roman" w:cs="Times New Roman"/>
          <w:i/>
        </w:rPr>
        <w:t>op.cit.</w:t>
      </w:r>
      <w:r w:rsidR="008804A4">
        <w:rPr>
          <w:rFonts w:ascii="Times New Roman" w:hAnsi="Times New Roman" w:cs="Times New Roman"/>
        </w:rPr>
        <w:t>41.</w:t>
      </w:r>
      <w:r w:rsidRPr="00D36BD1">
        <w:rPr>
          <w:rFonts w:ascii="Times New Roman" w:hAnsi="Times New Roman" w:cs="Times New Roman"/>
        </w:rPr>
        <w:t>p.</w:t>
      </w:r>
    </w:p>
  </w:footnote>
  <w:footnote w:id="127">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2010-es adat.</w:t>
      </w:r>
    </w:p>
  </w:footnote>
  <w:footnote w:id="128">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2A3B84">
        <w:rPr>
          <w:rFonts w:ascii="Times New Roman" w:hAnsi="Times New Roman" w:cs="Times New Roman"/>
          <w:lang w:val="en-GB"/>
        </w:rPr>
        <w:t>Taxation trends in the European Union: data for EU Member State, Iceland and Norway</w:t>
      </w:r>
      <w:r>
        <w:rPr>
          <w:rFonts w:ascii="Times New Roman" w:hAnsi="Times New Roman" w:cs="Times New Roman"/>
        </w:rPr>
        <w:t xml:space="preserve">. 2012, </w:t>
      </w:r>
      <w:r w:rsidR="008804A4">
        <w:rPr>
          <w:rFonts w:ascii="Times New Roman" w:hAnsi="Times New Roman" w:cs="Times New Roman"/>
        </w:rPr>
        <w:t>96.</w:t>
      </w:r>
      <w:r w:rsidRPr="00D36BD1">
        <w:rPr>
          <w:rFonts w:ascii="Times New Roman" w:hAnsi="Times New Roman" w:cs="Times New Roman"/>
        </w:rPr>
        <w:t>p; forrás (2012.08.11.):</w:t>
      </w:r>
      <w:hyperlink r:id="rId30" w:history="1">
        <w:r w:rsidRPr="00CA1492">
          <w:rPr>
            <w:rStyle w:val="Hiperhivatkozs"/>
            <w:rFonts w:ascii="Times New Roman" w:hAnsi="Times New Roman" w:cs="Times New Roman"/>
          </w:rPr>
          <w:t>http://epp.eurostat.ec.europa.eu</w:t>
        </w:r>
      </w:hyperlink>
    </w:p>
  </w:footnote>
  <w:footnote w:id="129">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Az 1999. utáni időszak annyival másabb, hogy új adónemként a villamos-energiaadóját vezették be és a már meglévő adónemek mértékeit – különösen az ásványi olajokét – megemelték.</w:t>
      </w:r>
    </w:p>
  </w:footnote>
  <w:footnote w:id="130">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Stefan SPECK: The design of carbon and broad-based energy </w:t>
      </w:r>
      <w:r w:rsidR="008804A4">
        <w:rPr>
          <w:rFonts w:ascii="Times New Roman" w:hAnsi="Times New Roman" w:cs="Times New Roman"/>
        </w:rPr>
        <w:t>taxes in European Countries, 48.</w:t>
      </w:r>
      <w:r w:rsidRPr="00D36BD1">
        <w:rPr>
          <w:rFonts w:ascii="Times New Roman" w:hAnsi="Times New Roman" w:cs="Times New Roman"/>
        </w:rPr>
        <w:t xml:space="preserve">p; forrás (2012.08.25.): </w:t>
      </w:r>
      <w:hyperlink r:id="rId31" w:history="1">
        <w:r w:rsidRPr="00CA1492">
          <w:rPr>
            <w:rStyle w:val="Hiperhivatkozs"/>
            <w:rFonts w:ascii="Times New Roman" w:hAnsi="Times New Roman" w:cs="Times New Roman"/>
          </w:rPr>
          <w:t>www.vjel.org</w:t>
        </w:r>
      </w:hyperlink>
    </w:p>
  </w:footnote>
  <w:footnote w:id="131">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FOUQUET et al.: </w:t>
      </w:r>
      <w:r w:rsidRPr="00D36BD1">
        <w:rPr>
          <w:rFonts w:ascii="Times New Roman" w:hAnsi="Times New Roman" w:cs="Times New Roman"/>
          <w:i/>
        </w:rPr>
        <w:t>op.cit.</w:t>
      </w:r>
      <w:r w:rsidR="008804A4">
        <w:rPr>
          <w:rFonts w:ascii="Times New Roman" w:hAnsi="Times New Roman" w:cs="Times New Roman"/>
        </w:rPr>
        <w:t>20.</w:t>
      </w:r>
      <w:r w:rsidRPr="00D36BD1">
        <w:rPr>
          <w:rFonts w:ascii="Times New Roman" w:hAnsi="Times New Roman" w:cs="Times New Roman"/>
        </w:rPr>
        <w:t>p.</w:t>
      </w:r>
    </w:p>
  </w:footnote>
  <w:footnote w:id="132">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Working Paper (2007): </w:t>
      </w:r>
      <w:r w:rsidRPr="00D36BD1">
        <w:rPr>
          <w:rFonts w:ascii="Times New Roman" w:hAnsi="Times New Roman" w:cs="Times New Roman"/>
          <w:i/>
        </w:rPr>
        <w:t>op. cit.</w:t>
      </w:r>
      <w:r w:rsidR="008804A4">
        <w:rPr>
          <w:rFonts w:ascii="Times New Roman" w:hAnsi="Times New Roman" w:cs="Times New Roman"/>
        </w:rPr>
        <w:t>41.</w:t>
      </w:r>
      <w:r w:rsidRPr="00D36BD1">
        <w:rPr>
          <w:rFonts w:ascii="Times New Roman" w:hAnsi="Times New Roman" w:cs="Times New Roman"/>
        </w:rPr>
        <w:t>p.</w:t>
      </w:r>
    </w:p>
  </w:footnote>
  <w:footnote w:id="133">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Working Paper (2007): </w:t>
      </w:r>
      <w:r w:rsidRPr="00D36BD1">
        <w:rPr>
          <w:rFonts w:ascii="Times New Roman" w:hAnsi="Times New Roman" w:cs="Times New Roman"/>
          <w:i/>
        </w:rPr>
        <w:t>op.cit.</w:t>
      </w:r>
      <w:r w:rsidR="008804A4">
        <w:rPr>
          <w:rFonts w:ascii="Times New Roman" w:hAnsi="Times New Roman" w:cs="Times New Roman"/>
        </w:rPr>
        <w:t>41.</w:t>
      </w:r>
      <w:r w:rsidRPr="00D36BD1">
        <w:rPr>
          <w:rFonts w:ascii="Times New Roman" w:hAnsi="Times New Roman" w:cs="Times New Roman"/>
        </w:rPr>
        <w:t>p.</w:t>
      </w:r>
    </w:p>
  </w:footnote>
  <w:footnote w:id="134">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A megoldás a svédhez hasonló, így a németek is a szektorok szerint biztosított kedvezmények-rendszerét választották, ellentétben a magyar megoldással.</w:t>
      </w:r>
    </w:p>
  </w:footnote>
  <w:footnote w:id="135">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Working Paper (2007): </w:t>
      </w:r>
      <w:r w:rsidRPr="00D36BD1">
        <w:rPr>
          <w:rFonts w:ascii="Times New Roman" w:hAnsi="Times New Roman" w:cs="Times New Roman"/>
          <w:i/>
        </w:rPr>
        <w:t>op.cit.</w:t>
      </w:r>
      <w:r w:rsidR="008804A4">
        <w:rPr>
          <w:rFonts w:ascii="Times New Roman" w:hAnsi="Times New Roman" w:cs="Times New Roman"/>
        </w:rPr>
        <w:t>42.</w:t>
      </w:r>
      <w:r w:rsidRPr="00D36BD1">
        <w:rPr>
          <w:rFonts w:ascii="Times New Roman" w:hAnsi="Times New Roman" w:cs="Times New Roman"/>
        </w:rPr>
        <w:t>p.</w:t>
      </w:r>
    </w:p>
  </w:footnote>
  <w:footnote w:id="136">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SPECK: </w:t>
      </w:r>
      <w:r w:rsidRPr="00D36BD1">
        <w:rPr>
          <w:rFonts w:ascii="Times New Roman" w:hAnsi="Times New Roman" w:cs="Times New Roman"/>
          <w:i/>
        </w:rPr>
        <w:t>op.cit.</w:t>
      </w:r>
      <w:r w:rsidR="008804A4">
        <w:rPr>
          <w:rFonts w:ascii="Times New Roman" w:hAnsi="Times New Roman" w:cs="Times New Roman"/>
        </w:rPr>
        <w:t>49.</w:t>
      </w:r>
      <w:r w:rsidRPr="00D36BD1">
        <w:rPr>
          <w:rFonts w:ascii="Times New Roman" w:hAnsi="Times New Roman" w:cs="Times New Roman"/>
        </w:rPr>
        <w:t>p.</w:t>
      </w:r>
    </w:p>
  </w:footnote>
  <w:footnote w:id="137">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FOUQUET et al.: </w:t>
      </w:r>
      <w:r w:rsidRPr="00D36BD1">
        <w:rPr>
          <w:rFonts w:ascii="Times New Roman" w:hAnsi="Times New Roman" w:cs="Times New Roman"/>
          <w:i/>
        </w:rPr>
        <w:t>op.cit.</w:t>
      </w:r>
      <w:r w:rsidR="008804A4">
        <w:rPr>
          <w:rFonts w:ascii="Times New Roman" w:hAnsi="Times New Roman" w:cs="Times New Roman"/>
        </w:rPr>
        <w:t>22.</w:t>
      </w:r>
      <w:r w:rsidRPr="00D36BD1">
        <w:rPr>
          <w:rFonts w:ascii="Times New Roman" w:hAnsi="Times New Roman" w:cs="Times New Roman"/>
        </w:rPr>
        <w:t>p.</w:t>
      </w:r>
    </w:p>
  </w:footnote>
  <w:footnote w:id="138">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Stefan SPECK et al. (2006): </w:t>
      </w:r>
      <w:r w:rsidRPr="00D36BD1">
        <w:rPr>
          <w:rFonts w:ascii="Times New Roman" w:hAnsi="Times New Roman" w:cs="Times New Roman"/>
          <w:i/>
        </w:rPr>
        <w:t>op.cit.</w:t>
      </w:r>
      <w:r w:rsidR="008804A4">
        <w:rPr>
          <w:rFonts w:ascii="Times New Roman" w:hAnsi="Times New Roman" w:cs="Times New Roman"/>
        </w:rPr>
        <w:t>269.</w:t>
      </w:r>
      <w:r w:rsidRPr="00D36BD1">
        <w:rPr>
          <w:rFonts w:ascii="Times New Roman" w:hAnsi="Times New Roman" w:cs="Times New Roman"/>
        </w:rPr>
        <w:t>p.</w:t>
      </w:r>
    </w:p>
  </w:footnote>
  <w:footnote w:id="139">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Working Paper (2007): </w:t>
      </w:r>
      <w:r w:rsidRPr="00D36BD1">
        <w:rPr>
          <w:rFonts w:ascii="Times New Roman" w:hAnsi="Times New Roman" w:cs="Times New Roman"/>
          <w:i/>
        </w:rPr>
        <w:t>op.cit.</w:t>
      </w:r>
      <w:r w:rsidR="008804A4">
        <w:rPr>
          <w:rFonts w:ascii="Times New Roman" w:hAnsi="Times New Roman" w:cs="Times New Roman"/>
        </w:rPr>
        <w:t>42.</w:t>
      </w:r>
      <w:r w:rsidRPr="00D36BD1">
        <w:rPr>
          <w:rFonts w:ascii="Times New Roman" w:hAnsi="Times New Roman" w:cs="Times New Roman"/>
        </w:rPr>
        <w:t>p.</w:t>
      </w:r>
    </w:p>
  </w:footnote>
  <w:footnote w:id="140">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Working Paper (2007): </w:t>
      </w:r>
      <w:r w:rsidRPr="00D36BD1">
        <w:rPr>
          <w:rFonts w:ascii="Times New Roman" w:hAnsi="Times New Roman" w:cs="Times New Roman"/>
          <w:i/>
        </w:rPr>
        <w:t>op.cit.</w:t>
      </w:r>
      <w:r w:rsidR="008804A4">
        <w:rPr>
          <w:rFonts w:ascii="Times New Roman" w:hAnsi="Times New Roman" w:cs="Times New Roman"/>
        </w:rPr>
        <w:t>42.</w:t>
      </w:r>
      <w:r w:rsidRPr="00D36BD1">
        <w:rPr>
          <w:rFonts w:ascii="Times New Roman" w:hAnsi="Times New Roman" w:cs="Times New Roman"/>
        </w:rPr>
        <w:t>p.</w:t>
      </w:r>
    </w:p>
  </w:footnote>
  <w:footnote w:id="141">
    <w:p w:rsidR="00812916" w:rsidRPr="00D36BD1" w:rsidRDefault="00812916" w:rsidP="0078579F">
      <w:pPr>
        <w:pStyle w:val="Lbjegyzetszveg"/>
        <w:rPr>
          <w:rFonts w:ascii="Times New Roman" w:hAnsi="Times New Roman" w:cs="Times New Roman"/>
        </w:rPr>
      </w:pPr>
      <w:r w:rsidRPr="00D36BD1">
        <w:rPr>
          <w:rStyle w:val="Lbjegyzet-hivatkozs"/>
        </w:rPr>
        <w:footnoteRef/>
      </w:r>
      <w:r w:rsidRPr="00D36BD1">
        <w:rPr>
          <w:rFonts w:ascii="Times New Roman" w:hAnsi="Times New Roman" w:cs="Times New Roman"/>
        </w:rPr>
        <w:t>Forrás(2012.07.24.):</w:t>
      </w:r>
      <w:hyperlink r:id="rId32" w:history="1">
        <w:r w:rsidRPr="00CA1492">
          <w:rPr>
            <w:rStyle w:val="Hiperhivatkozs"/>
            <w:rFonts w:ascii="Times New Roman" w:hAnsi="Times New Roman" w:cs="Times New Roman"/>
          </w:rPr>
          <w:t>www.destatis.de/EN/FactsFigures/NationalEconomyEnvironment/Environment/EnvironmentalEconomicAccounting/EnvironmentalProtectionMeasures/Current.html</w:t>
        </w:r>
      </w:hyperlink>
      <w:r>
        <w:rPr>
          <w:rFonts w:ascii="Times New Roman" w:hAnsi="Times New Roman" w:cs="Times New Roman"/>
        </w:rPr>
        <w:t>.</w:t>
      </w:r>
      <w:r w:rsidRPr="00D36BD1">
        <w:rPr>
          <w:rFonts w:ascii="Times New Roman" w:hAnsi="Times New Roman" w:cs="Times New Roman"/>
        </w:rPr>
        <w:t>2011-ben 57,5 milliárd eurós költségvetési bevételt jelentettek a környezetvédelmi adók. Ebből a legnagyobb arányt az energiaadó tette ki. A teljes adóbevételhez képest a környezetvédelmi adók annak 10%-át teszik ki.</w:t>
      </w:r>
    </w:p>
  </w:footnote>
  <w:footnote w:id="142">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F07551">
        <w:rPr>
          <w:rFonts w:ascii="Times New Roman" w:hAnsi="Times New Roman" w:cs="Times New Roman"/>
          <w:lang w:val="en-GB"/>
        </w:rPr>
        <w:t>Environmental Tax and Fiscal Reform Elements in Germany, egy lisszaboni előadás, 2011. április 19.  3. slide; forrás</w:t>
      </w:r>
      <w:r w:rsidRPr="00D36BD1">
        <w:rPr>
          <w:rFonts w:ascii="Times New Roman" w:hAnsi="Times New Roman" w:cs="Times New Roman"/>
        </w:rPr>
        <w:t xml:space="preserve"> (2012.08.22.):</w:t>
      </w:r>
      <w:hyperlink r:id="rId33" w:history="1">
        <w:r w:rsidRPr="00CA1492">
          <w:rPr>
            <w:rStyle w:val="Hiperhivatkozs"/>
            <w:rFonts w:ascii="Times New Roman" w:hAnsi="Times New Roman" w:cs="Times New Roman"/>
          </w:rPr>
          <w:t>www.geota.pt</w:t>
        </w:r>
      </w:hyperlink>
    </w:p>
  </w:footnote>
  <w:footnote w:id="143">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Ugyanis megvétózhatja bármelyik tagállam a javaslatot, így csak újabb „rémálom” jönne létre az EU-ban, mint a II. 1. fejezetben részletezett Energiaadó Irányelvvel kapcsolatban.</w:t>
      </w:r>
    </w:p>
  </w:footnote>
  <w:footnote w:id="144">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A korlátozottság azt jelenti, hogy a 350 euró/gramm értékhatárt nem lépheti át az adó. Ezzel is azt próbálják szimbolizálni, hogy a nukleáris energia által okozott externáliákat internalizálják.</w:t>
      </w:r>
    </w:p>
  </w:footnote>
  <w:footnote w:id="145">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1909-től kezdve létezik az adónem, de azóta számos változáson ment keresztül.</w:t>
      </w:r>
    </w:p>
  </w:footnote>
  <w:footnote w:id="146">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Ez gallononként 6 régi pennyt jelentett.</w:t>
      </w:r>
    </w:p>
  </w:footnote>
  <w:footnote w:id="147">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Magyarul: az üzemanyagok fogyasztási adójának évről évre lépcsőzetesen történő emelése.</w:t>
      </w:r>
    </w:p>
  </w:footnote>
  <w:footnote w:id="148">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F07551">
        <w:rPr>
          <w:rFonts w:ascii="Times New Roman" w:hAnsi="Times New Roman" w:cs="Times New Roman"/>
          <w:lang w:val="en-GB"/>
        </w:rPr>
        <w:t>Review of Environmental Taxes in the UK Environmental Accounts, 2006. augusztus. EUROSTAT/B1 Grant Agreement No</w:t>
      </w:r>
      <w:r w:rsidRPr="00D36BD1">
        <w:rPr>
          <w:rFonts w:ascii="Times New Roman" w:hAnsi="Times New Roman" w:cs="Times New Roman"/>
        </w:rPr>
        <w:t>. 71401.2005.001-2005.302</w:t>
      </w:r>
      <w:r>
        <w:rPr>
          <w:rFonts w:ascii="Times New Roman" w:hAnsi="Times New Roman" w:cs="Times New Roman"/>
        </w:rPr>
        <w:t>., 21. p; forrás (2012.07.23.):</w:t>
      </w:r>
      <w:hyperlink r:id="rId34" w:history="1">
        <w:r w:rsidRPr="00CA1492">
          <w:rPr>
            <w:rStyle w:val="Hiperhivatkozs"/>
            <w:rFonts w:ascii="Times New Roman" w:hAnsi="Times New Roman" w:cs="Times New Roman"/>
          </w:rPr>
          <w:t>http://circa.europa.eu</w:t>
        </w:r>
      </w:hyperlink>
    </w:p>
  </w:footnote>
  <w:footnote w:id="149">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Review (2006): </w:t>
      </w:r>
      <w:r w:rsidRPr="00D36BD1">
        <w:rPr>
          <w:rFonts w:ascii="Times New Roman" w:hAnsi="Times New Roman" w:cs="Times New Roman"/>
          <w:i/>
        </w:rPr>
        <w:t>op.cit.</w:t>
      </w:r>
      <w:r w:rsidR="008804A4">
        <w:rPr>
          <w:rFonts w:ascii="Times New Roman" w:hAnsi="Times New Roman" w:cs="Times New Roman"/>
        </w:rPr>
        <w:t>21.</w:t>
      </w:r>
      <w:r w:rsidRPr="00D36BD1">
        <w:rPr>
          <w:rFonts w:ascii="Times New Roman" w:hAnsi="Times New Roman" w:cs="Times New Roman"/>
        </w:rPr>
        <w:t>p.</w:t>
      </w:r>
    </w:p>
  </w:footnote>
  <w:footnote w:id="150">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Magyarul: fosszilis tüzelőanyagokra kivetett adók.</w:t>
      </w:r>
    </w:p>
  </w:footnote>
  <w:footnote w:id="151">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Az Egyesült Királyság területén mindenkire kiterjed, kivéve természetesen Észak-Írországot.</w:t>
      </w:r>
    </w:p>
  </w:footnote>
  <w:footnote w:id="152">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Working Paper (2007): </w:t>
      </w:r>
      <w:r w:rsidRPr="00D36BD1">
        <w:rPr>
          <w:rFonts w:ascii="Times New Roman" w:hAnsi="Times New Roman" w:cs="Times New Roman"/>
          <w:i/>
        </w:rPr>
        <w:t>op.cit.</w:t>
      </w:r>
      <w:r w:rsidR="008804A4">
        <w:rPr>
          <w:rFonts w:ascii="Times New Roman" w:hAnsi="Times New Roman" w:cs="Times New Roman"/>
        </w:rPr>
        <w:t>49.</w:t>
      </w:r>
      <w:r w:rsidRPr="00D36BD1">
        <w:rPr>
          <w:rFonts w:ascii="Times New Roman" w:hAnsi="Times New Roman" w:cs="Times New Roman"/>
        </w:rPr>
        <w:t>p.</w:t>
      </w:r>
    </w:p>
  </w:footnote>
  <w:footnote w:id="153">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Review (2006): </w:t>
      </w:r>
      <w:r w:rsidRPr="00D36BD1">
        <w:rPr>
          <w:rFonts w:ascii="Times New Roman" w:hAnsi="Times New Roman" w:cs="Times New Roman"/>
          <w:i/>
        </w:rPr>
        <w:t>op.cit.</w:t>
      </w:r>
      <w:r w:rsidR="008804A4">
        <w:rPr>
          <w:rFonts w:ascii="Times New Roman" w:hAnsi="Times New Roman" w:cs="Times New Roman"/>
        </w:rPr>
        <w:t>23.</w:t>
      </w:r>
      <w:r w:rsidRPr="00D36BD1">
        <w:rPr>
          <w:rFonts w:ascii="Times New Roman" w:hAnsi="Times New Roman" w:cs="Times New Roman"/>
        </w:rPr>
        <w:t>p.</w:t>
      </w:r>
    </w:p>
  </w:footnote>
  <w:footnote w:id="154">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F07551">
        <w:rPr>
          <w:rFonts w:ascii="Times New Roman" w:hAnsi="Times New Roman" w:cs="Times New Roman"/>
          <w:lang w:val="en-GB"/>
        </w:rPr>
        <w:t>Review</w:t>
      </w:r>
      <w:r w:rsidRPr="00D36BD1">
        <w:rPr>
          <w:rFonts w:ascii="Times New Roman" w:hAnsi="Times New Roman" w:cs="Times New Roman"/>
        </w:rPr>
        <w:t xml:space="preserve"> (2006): </w:t>
      </w:r>
      <w:r w:rsidRPr="00D36BD1">
        <w:rPr>
          <w:rFonts w:ascii="Times New Roman" w:hAnsi="Times New Roman" w:cs="Times New Roman"/>
          <w:i/>
        </w:rPr>
        <w:t>op.cit.</w:t>
      </w:r>
      <w:r w:rsidR="008804A4">
        <w:rPr>
          <w:rFonts w:ascii="Times New Roman" w:hAnsi="Times New Roman" w:cs="Times New Roman"/>
        </w:rPr>
        <w:t>23.</w:t>
      </w:r>
      <w:r w:rsidRPr="00D36BD1">
        <w:rPr>
          <w:rFonts w:ascii="Times New Roman" w:hAnsi="Times New Roman" w:cs="Times New Roman"/>
        </w:rPr>
        <w:t>p.</w:t>
      </w:r>
    </w:p>
  </w:footnote>
  <w:footnote w:id="155">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Ez a villamos-energia végfelhasználói árnak a 11 %-át jelentette.</w:t>
      </w:r>
    </w:p>
  </w:footnote>
  <w:footnote w:id="156">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Először Angliában és Walesben, 2002 áprilisában vezették be, majd később Skóciában 2002 novemberében.</w:t>
      </w:r>
    </w:p>
  </w:footnote>
  <w:footnote w:id="157">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SPECK: </w:t>
      </w:r>
      <w:r w:rsidRPr="00D36BD1">
        <w:rPr>
          <w:rFonts w:ascii="Times New Roman" w:hAnsi="Times New Roman" w:cs="Times New Roman"/>
          <w:i/>
        </w:rPr>
        <w:t>op.cit.</w:t>
      </w:r>
      <w:r w:rsidR="008804A4">
        <w:rPr>
          <w:rFonts w:ascii="Times New Roman" w:hAnsi="Times New Roman" w:cs="Times New Roman"/>
        </w:rPr>
        <w:t>53.</w:t>
      </w:r>
      <w:r w:rsidRPr="00D36BD1">
        <w:rPr>
          <w:rFonts w:ascii="Times New Roman" w:hAnsi="Times New Roman" w:cs="Times New Roman"/>
        </w:rPr>
        <w:t>p.</w:t>
      </w:r>
    </w:p>
  </w:footnote>
  <w:footnote w:id="158">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A CCL rendszer bevezetése miatt csökkentették le a mértékét egészen nullára.</w:t>
      </w:r>
    </w:p>
  </w:footnote>
  <w:footnote w:id="159">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Working Paper (2007): </w:t>
      </w:r>
      <w:r w:rsidRPr="00D36BD1">
        <w:rPr>
          <w:rFonts w:ascii="Times New Roman" w:hAnsi="Times New Roman" w:cs="Times New Roman"/>
          <w:i/>
        </w:rPr>
        <w:t>op.cit.</w:t>
      </w:r>
      <w:r w:rsidR="008804A4">
        <w:rPr>
          <w:rFonts w:ascii="Times New Roman" w:hAnsi="Times New Roman" w:cs="Times New Roman"/>
        </w:rPr>
        <w:t>49.</w:t>
      </w:r>
      <w:r w:rsidRPr="00D36BD1">
        <w:rPr>
          <w:rFonts w:ascii="Times New Roman" w:hAnsi="Times New Roman" w:cs="Times New Roman"/>
        </w:rPr>
        <w:t>p.</w:t>
      </w:r>
    </w:p>
  </w:footnote>
  <w:footnote w:id="160">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Ez tulajdonképpen a kyotói egyezmény követelményeinek való megfelelés hatására fogant meg.</w:t>
      </w:r>
    </w:p>
  </w:footnote>
  <w:footnote w:id="161">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Magyarul: klímaváltozással kapcsolatos adók beszedése. Annak ellenére, hogy nem konkrétan energia-, vagy szénadónak hívják, természetét tekintve megegyezik a többi tagállambeli szén-/energiaadóval.</w:t>
      </w:r>
    </w:p>
  </w:footnote>
  <w:footnote w:id="162">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Ez alól természetesen a jogalkotó meghatározott kivételeket, így: a villamos energia előállítására felhasznált üzemanyagok, a nem energetikai célzattal felhasznált üzemanyagok és az új megújuló energiaforrásokból (nap- és szélenergia) előállított villamos energia.</w:t>
      </w:r>
    </w:p>
  </w:footnote>
  <w:footnote w:id="163">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Emellett a közlekedési ágazatra sem terjed ki az adó.</w:t>
      </w:r>
    </w:p>
  </w:footnote>
  <w:footnote w:id="164">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SPECK: </w:t>
      </w:r>
      <w:r w:rsidRPr="00D36BD1">
        <w:rPr>
          <w:rFonts w:ascii="Times New Roman" w:hAnsi="Times New Roman" w:cs="Times New Roman"/>
          <w:i/>
        </w:rPr>
        <w:t>op.cit</w:t>
      </w:r>
      <w:r w:rsidR="008804A4">
        <w:rPr>
          <w:rFonts w:ascii="Times New Roman" w:hAnsi="Times New Roman" w:cs="Times New Roman"/>
        </w:rPr>
        <w:t>.54.</w:t>
      </w:r>
      <w:r w:rsidRPr="00D36BD1">
        <w:rPr>
          <w:rFonts w:ascii="Times New Roman" w:hAnsi="Times New Roman" w:cs="Times New Roman"/>
        </w:rPr>
        <w:t>p.</w:t>
      </w:r>
    </w:p>
  </w:footnote>
  <w:footnote w:id="165">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Review (2006): </w:t>
      </w:r>
      <w:r w:rsidRPr="00D36BD1">
        <w:rPr>
          <w:rFonts w:ascii="Times New Roman" w:hAnsi="Times New Roman" w:cs="Times New Roman"/>
          <w:i/>
        </w:rPr>
        <w:t>op.cit.</w:t>
      </w:r>
      <w:r w:rsidR="008804A4">
        <w:rPr>
          <w:rFonts w:ascii="Times New Roman" w:hAnsi="Times New Roman" w:cs="Times New Roman"/>
        </w:rPr>
        <w:t>25.</w:t>
      </w:r>
      <w:r w:rsidRPr="00D36BD1">
        <w:rPr>
          <w:rFonts w:ascii="Times New Roman" w:hAnsi="Times New Roman" w:cs="Times New Roman"/>
        </w:rPr>
        <w:t>p.</w:t>
      </w:r>
    </w:p>
  </w:footnote>
  <w:footnote w:id="166">
    <w:p w:rsidR="00812916" w:rsidRPr="00F07551" w:rsidRDefault="00812916" w:rsidP="00D36BD1">
      <w:pPr>
        <w:pStyle w:val="Lbjegyzetszveg"/>
        <w:jc w:val="both"/>
        <w:rPr>
          <w:rFonts w:ascii="Times New Roman" w:hAnsi="Times New Roman" w:cs="Times New Roman"/>
          <w:lang w:val="en-GB"/>
        </w:rPr>
      </w:pPr>
      <w:r w:rsidRPr="00F07551">
        <w:rPr>
          <w:rStyle w:val="Lbjegyzet-hivatkozs"/>
          <w:lang w:val="en-GB"/>
        </w:rPr>
        <w:footnoteRef/>
      </w:r>
      <w:r w:rsidRPr="00F07551">
        <w:rPr>
          <w:rFonts w:ascii="Times New Roman" w:hAnsi="Times New Roman" w:cs="Times New Roman"/>
          <w:lang w:val="en-GB"/>
        </w:rPr>
        <w:t xml:space="preserve">Working Paper (2007): </w:t>
      </w:r>
      <w:r w:rsidRPr="00F07551">
        <w:rPr>
          <w:rFonts w:ascii="Times New Roman" w:hAnsi="Times New Roman" w:cs="Times New Roman"/>
          <w:i/>
          <w:lang w:val="en-GB"/>
        </w:rPr>
        <w:t>op.cit.</w:t>
      </w:r>
      <w:r w:rsidR="008804A4">
        <w:rPr>
          <w:rFonts w:ascii="Times New Roman" w:hAnsi="Times New Roman" w:cs="Times New Roman"/>
          <w:lang w:val="en-GB"/>
        </w:rPr>
        <w:t>49.</w:t>
      </w:r>
      <w:r w:rsidRPr="00F07551">
        <w:rPr>
          <w:rFonts w:ascii="Times New Roman" w:hAnsi="Times New Roman" w:cs="Times New Roman"/>
          <w:lang w:val="en-GB"/>
        </w:rPr>
        <w:t>p.</w:t>
      </w:r>
    </w:p>
  </w:footnote>
  <w:footnote w:id="167">
    <w:p w:rsidR="00812916" w:rsidRPr="00F07551" w:rsidRDefault="00812916" w:rsidP="00D36BD1">
      <w:pPr>
        <w:pStyle w:val="Lbjegyzetszveg"/>
        <w:jc w:val="both"/>
        <w:rPr>
          <w:rFonts w:ascii="Times New Roman" w:hAnsi="Times New Roman" w:cs="Times New Roman"/>
          <w:lang w:val="en-GB"/>
        </w:rPr>
      </w:pPr>
      <w:r w:rsidRPr="00F07551">
        <w:rPr>
          <w:rStyle w:val="Lbjegyzet-hivatkozs"/>
          <w:lang w:val="en-GB"/>
        </w:rPr>
        <w:footnoteRef/>
      </w:r>
      <w:r w:rsidRPr="00F07551">
        <w:rPr>
          <w:rFonts w:ascii="Times New Roman" w:hAnsi="Times New Roman" w:cs="Times New Roman"/>
          <w:lang w:val="en-GB"/>
        </w:rPr>
        <w:t xml:space="preserve">Working Paper (2007): </w:t>
      </w:r>
      <w:r w:rsidRPr="00F07551">
        <w:rPr>
          <w:rFonts w:ascii="Times New Roman" w:hAnsi="Times New Roman" w:cs="Times New Roman"/>
          <w:i/>
          <w:lang w:val="en-GB"/>
        </w:rPr>
        <w:t>op.cit.</w:t>
      </w:r>
      <w:r w:rsidR="008804A4">
        <w:rPr>
          <w:rFonts w:ascii="Times New Roman" w:hAnsi="Times New Roman" w:cs="Times New Roman"/>
          <w:lang w:val="en-GB"/>
        </w:rPr>
        <w:t>49-50.</w:t>
      </w:r>
      <w:r w:rsidRPr="00F07551">
        <w:rPr>
          <w:rFonts w:ascii="Times New Roman" w:hAnsi="Times New Roman" w:cs="Times New Roman"/>
          <w:lang w:val="en-GB"/>
        </w:rPr>
        <w:t>p.</w:t>
      </w:r>
    </w:p>
  </w:footnote>
  <w:footnote w:id="168">
    <w:p w:rsidR="00812916" w:rsidRPr="00F07551" w:rsidRDefault="00812916" w:rsidP="00D36BD1">
      <w:pPr>
        <w:autoSpaceDE w:val="0"/>
        <w:autoSpaceDN w:val="0"/>
        <w:adjustRightInd w:val="0"/>
        <w:spacing w:after="0" w:line="240" w:lineRule="auto"/>
        <w:jc w:val="both"/>
        <w:rPr>
          <w:rFonts w:ascii="Times New Roman" w:hAnsi="Times New Roman" w:cs="Times New Roman"/>
          <w:sz w:val="20"/>
          <w:szCs w:val="20"/>
          <w:lang w:val="en-GB"/>
        </w:rPr>
      </w:pPr>
      <w:r w:rsidRPr="00F07551">
        <w:rPr>
          <w:rStyle w:val="Lbjegyzet-hivatkozs"/>
          <w:sz w:val="20"/>
          <w:szCs w:val="20"/>
          <w:lang w:val="en-GB"/>
        </w:rPr>
        <w:footnoteRef/>
      </w:r>
      <w:r w:rsidRPr="00F07551">
        <w:rPr>
          <w:rFonts w:ascii="Times New Roman" w:hAnsi="Times New Roman" w:cs="Times New Roman"/>
          <w:sz w:val="20"/>
          <w:szCs w:val="20"/>
          <w:lang w:val="en-GB"/>
        </w:rPr>
        <w:t>Policy Network, Briefing Paper: The politics of climate change in the UK 4. (2008); forrás (2012.08.10.):</w:t>
      </w:r>
      <w:hyperlink r:id="rId35" w:history="1">
        <w:r w:rsidRPr="00CA1492">
          <w:rPr>
            <w:rStyle w:val="Hiperhivatkozs"/>
            <w:rFonts w:ascii="Times New Roman" w:hAnsi="Times New Roman" w:cs="Times New Roman"/>
            <w:sz w:val="20"/>
            <w:szCs w:val="20"/>
            <w:lang w:val="en-GB"/>
          </w:rPr>
          <w:t>www.policy-network.net</w:t>
        </w:r>
      </w:hyperlink>
    </w:p>
  </w:footnote>
  <w:footnote w:id="169">
    <w:p w:rsidR="00812916" w:rsidRPr="00F07551" w:rsidRDefault="00812916" w:rsidP="00D36BD1">
      <w:pPr>
        <w:pStyle w:val="Lbjegyzetszveg"/>
        <w:jc w:val="both"/>
        <w:rPr>
          <w:rFonts w:ascii="Times New Roman" w:hAnsi="Times New Roman" w:cs="Times New Roman"/>
          <w:lang w:val="en-GB"/>
        </w:rPr>
      </w:pPr>
      <w:r w:rsidRPr="00F07551">
        <w:rPr>
          <w:rStyle w:val="Lbjegyzet-hivatkozs"/>
          <w:lang w:val="en-GB"/>
        </w:rPr>
        <w:footnoteRef/>
      </w:r>
      <w:r w:rsidRPr="00F07551">
        <w:rPr>
          <w:rFonts w:ascii="Times New Roman" w:hAnsi="Times New Roman" w:cs="Times New Roman"/>
          <w:lang w:val="en-GB"/>
        </w:rPr>
        <w:t>OECD Environment Programme, Working Paper: The United Kingdom Climate Change Levy: A study in Political Economy; forrás (2012.07.30.):</w:t>
      </w:r>
    </w:p>
    <w:p w:rsidR="00812916" w:rsidRPr="00D36BD1" w:rsidRDefault="00377C43" w:rsidP="00D36BD1">
      <w:pPr>
        <w:pStyle w:val="Lbjegyzetszveg"/>
        <w:jc w:val="both"/>
        <w:rPr>
          <w:rFonts w:ascii="Times New Roman" w:hAnsi="Times New Roman" w:cs="Times New Roman"/>
        </w:rPr>
      </w:pPr>
      <w:hyperlink r:id="rId36" w:history="1">
        <w:r w:rsidR="00812916" w:rsidRPr="00CA1492">
          <w:rPr>
            <w:rStyle w:val="Hiperhivatkozs"/>
            <w:rFonts w:ascii="Times New Roman" w:hAnsi="Times New Roman" w:cs="Times New Roman"/>
          </w:rPr>
          <w:t>http://search.oecd.org</w:t>
        </w:r>
      </w:hyperlink>
    </w:p>
  </w:footnote>
  <w:footnote w:id="170">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A versenytorzulás rövidtávon mindenhol várható, de itt, mint egyetlen kivételt tekintve hosszú távon is megvalósult. Ennek részben az az oka, hogy a Királyság az egyetlen tagállam az EU-ban, ahol az adóreformot nem a háztartások szektorában valósították meg. A negatív hatás ellensúlyozására 4 eszköz ismeretes: (1) adóbevételek visszaforgatása, (2) adómentesítés, (3) adóráták csökkentése, (4) határ menti igazgatás (erre az uniós tagállamok közötti kereskedelemben nincs lehetőség); In: KISS (2005) </w:t>
      </w:r>
      <w:r w:rsidRPr="00D36BD1">
        <w:rPr>
          <w:rFonts w:ascii="Times New Roman" w:hAnsi="Times New Roman" w:cs="Times New Roman"/>
          <w:i/>
        </w:rPr>
        <w:t>op.cit.</w:t>
      </w:r>
      <w:r w:rsidR="008804A4">
        <w:rPr>
          <w:rFonts w:ascii="Times New Roman" w:hAnsi="Times New Roman" w:cs="Times New Roman"/>
        </w:rPr>
        <w:t>144.</w:t>
      </w:r>
      <w:r w:rsidRPr="00D36BD1">
        <w:rPr>
          <w:rFonts w:ascii="Times New Roman" w:hAnsi="Times New Roman" w:cs="Times New Roman"/>
        </w:rPr>
        <w:t>p.</w:t>
      </w:r>
    </w:p>
  </w:footnote>
  <w:footnote w:id="171">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OECD: </w:t>
      </w:r>
      <w:r w:rsidRPr="00D36BD1">
        <w:rPr>
          <w:rFonts w:ascii="Times New Roman" w:hAnsi="Times New Roman" w:cs="Times New Roman"/>
          <w:i/>
        </w:rPr>
        <w:t>op.cit.</w:t>
      </w:r>
      <w:r w:rsidR="008804A4">
        <w:rPr>
          <w:rFonts w:ascii="Times New Roman" w:hAnsi="Times New Roman" w:cs="Times New Roman"/>
        </w:rPr>
        <w:t>92.</w:t>
      </w:r>
      <w:r w:rsidRPr="00D36BD1">
        <w:rPr>
          <w:rFonts w:ascii="Times New Roman" w:hAnsi="Times New Roman" w:cs="Times New Roman"/>
        </w:rPr>
        <w:t>p.</w:t>
      </w:r>
    </w:p>
  </w:footnote>
  <w:footnote w:id="172">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Ezek önkéntes megállapodások, amelyeket a vállalatok, mint jogalanyok szabad akarat-elhatározásukból köthetnek meg a környezetvédelmi hatóságokkal, amelyben vállalják, hogy a hosszú távú szennyezést és kibocsátást csökkentik.</w:t>
      </w:r>
    </w:p>
  </w:footnote>
  <w:footnote w:id="173">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OECD: </w:t>
      </w:r>
      <w:r w:rsidRPr="00D36BD1">
        <w:rPr>
          <w:rFonts w:ascii="Times New Roman" w:hAnsi="Times New Roman" w:cs="Times New Roman"/>
          <w:i/>
        </w:rPr>
        <w:t>op.cit.</w:t>
      </w:r>
      <w:r w:rsidR="008804A4">
        <w:rPr>
          <w:rFonts w:ascii="Times New Roman" w:hAnsi="Times New Roman" w:cs="Times New Roman"/>
        </w:rPr>
        <w:t>92.</w:t>
      </w:r>
      <w:r w:rsidRPr="00D36BD1">
        <w:rPr>
          <w:rFonts w:ascii="Times New Roman" w:hAnsi="Times New Roman" w:cs="Times New Roman"/>
        </w:rPr>
        <w:t>p.</w:t>
      </w:r>
    </w:p>
  </w:footnote>
  <w:footnote w:id="174">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FOUQUET et al.: </w:t>
      </w:r>
      <w:r w:rsidRPr="00D36BD1">
        <w:rPr>
          <w:rFonts w:ascii="Times New Roman" w:hAnsi="Times New Roman" w:cs="Times New Roman"/>
          <w:i/>
        </w:rPr>
        <w:t>op.cit.</w:t>
      </w:r>
      <w:r w:rsidR="008804A4">
        <w:rPr>
          <w:rFonts w:ascii="Times New Roman" w:hAnsi="Times New Roman" w:cs="Times New Roman"/>
        </w:rPr>
        <w:t>19.</w:t>
      </w:r>
      <w:r w:rsidRPr="00D36BD1">
        <w:rPr>
          <w:rFonts w:ascii="Times New Roman" w:hAnsi="Times New Roman" w:cs="Times New Roman"/>
        </w:rPr>
        <w:t>p.</w:t>
      </w:r>
    </w:p>
  </w:footnote>
  <w:footnote w:id="175">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Kb. a GDP 0,1%-át jelenti az alacsonyság.</w:t>
      </w:r>
    </w:p>
  </w:footnote>
  <w:footnote w:id="176">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OECD: </w:t>
      </w:r>
      <w:r w:rsidRPr="00D36BD1">
        <w:rPr>
          <w:rFonts w:ascii="Times New Roman" w:hAnsi="Times New Roman" w:cs="Times New Roman"/>
          <w:i/>
        </w:rPr>
        <w:t>op.cit.</w:t>
      </w:r>
      <w:r w:rsidR="008804A4">
        <w:rPr>
          <w:rFonts w:ascii="Times New Roman" w:hAnsi="Times New Roman" w:cs="Times New Roman"/>
        </w:rPr>
        <w:t>83.</w:t>
      </w:r>
      <w:r w:rsidRPr="00D36BD1">
        <w:rPr>
          <w:rFonts w:ascii="Times New Roman" w:hAnsi="Times New Roman" w:cs="Times New Roman"/>
        </w:rPr>
        <w:t>p.</w:t>
      </w:r>
    </w:p>
  </w:footnote>
  <w:footnote w:id="177">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SPECK: </w:t>
      </w:r>
      <w:r w:rsidRPr="00D36BD1">
        <w:rPr>
          <w:rFonts w:ascii="Times New Roman" w:hAnsi="Times New Roman" w:cs="Times New Roman"/>
          <w:i/>
        </w:rPr>
        <w:t>op.cit</w:t>
      </w:r>
      <w:r w:rsidR="008804A4">
        <w:rPr>
          <w:rFonts w:ascii="Times New Roman" w:hAnsi="Times New Roman" w:cs="Times New Roman"/>
        </w:rPr>
        <w:t>.55.</w:t>
      </w:r>
      <w:r w:rsidRPr="00D36BD1">
        <w:rPr>
          <w:rFonts w:ascii="Times New Roman" w:hAnsi="Times New Roman" w:cs="Times New Roman"/>
        </w:rPr>
        <w:t>p.</w:t>
      </w:r>
    </w:p>
  </w:footnote>
  <w:footnote w:id="178">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Ezek a munkaigényes ágazatok, ellentétben az energiaigényesekkel.</w:t>
      </w:r>
    </w:p>
  </w:footnote>
  <w:footnote w:id="179">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Őket nevezzük a nettó veszteseknek, akiknek a CCL rendszerbevezetése miatt a nettó adóterhük magasabb lett.</w:t>
      </w:r>
    </w:p>
  </w:footnote>
  <w:footnote w:id="180">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Ezzel ellentétben Németországban az ETR politikának köszönhetően az egész gazdaságot érinti az energiafogyasztás után fizetendő energiaadó, amely így a munkáltatók és munkavállalóik nyugdíjjárulék és egyéb munkához kapcsolódó befizetéseiket csökkenti.</w:t>
      </w:r>
    </w:p>
  </w:footnote>
  <w:footnote w:id="181">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Forrás (2012.07.10.):</w:t>
      </w:r>
    </w:p>
    <w:p w:rsidR="00812916" w:rsidRPr="00D36BD1" w:rsidRDefault="00377C43" w:rsidP="00D36BD1">
      <w:pPr>
        <w:pStyle w:val="Lbjegyzetszveg"/>
        <w:jc w:val="both"/>
        <w:rPr>
          <w:rFonts w:ascii="Times New Roman" w:hAnsi="Times New Roman" w:cs="Times New Roman"/>
        </w:rPr>
      </w:pPr>
      <w:hyperlink r:id="rId37" w:history="1">
        <w:r w:rsidR="00812916" w:rsidRPr="00CA1492">
          <w:rPr>
            <w:rStyle w:val="Hiperhivatkozs"/>
            <w:rFonts w:ascii="Times New Roman" w:hAnsi="Times New Roman" w:cs="Times New Roman"/>
          </w:rPr>
          <w:t>www.ons.gov.uk/ons/rel/environmental/environmental-accounts/2011/environmental-taxes.html</w:t>
        </w:r>
      </w:hyperlink>
    </w:p>
    <w:p w:rsidR="00812916" w:rsidRPr="00D36BD1" w:rsidRDefault="00812916" w:rsidP="00D36BD1">
      <w:pPr>
        <w:pStyle w:val="Lbjegyzetszveg"/>
        <w:jc w:val="both"/>
        <w:rPr>
          <w:rFonts w:ascii="Times New Roman" w:hAnsi="Times New Roman" w:cs="Times New Roman"/>
        </w:rPr>
      </w:pPr>
      <w:r w:rsidRPr="00D36BD1">
        <w:rPr>
          <w:rFonts w:ascii="Times New Roman" w:hAnsi="Times New Roman" w:cs="Times New Roman"/>
        </w:rPr>
        <w:t>Sorban: energia, közlekedés és egyéb kategóriák.</w:t>
      </w:r>
    </w:p>
  </w:footnote>
  <w:footnote w:id="182">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2003. évi LXXXVIII. törvény az energiaadóról (továbbiakban Etv.).</w:t>
      </w:r>
    </w:p>
  </w:footnote>
  <w:footnote w:id="183">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SIMON István (szerk.): Pénzügyi Jog II. Budapest, 2007, Osiris Kiadó, 285. p.</w:t>
      </w:r>
    </w:p>
  </w:footnote>
  <w:footnote w:id="184">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HERICH (2006): </w:t>
      </w:r>
      <w:r w:rsidRPr="00D36BD1">
        <w:rPr>
          <w:rFonts w:ascii="Times New Roman" w:hAnsi="Times New Roman" w:cs="Times New Roman"/>
          <w:i/>
        </w:rPr>
        <w:t>op.cit.</w:t>
      </w:r>
      <w:r w:rsidRPr="00D36BD1">
        <w:rPr>
          <w:rFonts w:ascii="Times New Roman" w:hAnsi="Times New Roman" w:cs="Times New Roman"/>
        </w:rPr>
        <w:t>493</w:t>
      </w:r>
      <w:r w:rsidR="008804A4">
        <w:rPr>
          <w:rFonts w:ascii="Times New Roman" w:hAnsi="Times New Roman" w:cs="Times New Roman"/>
        </w:rPr>
        <w:t>.</w:t>
      </w:r>
      <w:r w:rsidRPr="00D36BD1">
        <w:rPr>
          <w:rFonts w:ascii="Times New Roman" w:hAnsi="Times New Roman" w:cs="Times New Roman"/>
        </w:rPr>
        <w:t>p.</w:t>
      </w:r>
    </w:p>
  </w:footnote>
  <w:footnote w:id="185">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HERICH (2006): </w:t>
      </w:r>
      <w:r w:rsidRPr="00D36BD1">
        <w:rPr>
          <w:rFonts w:ascii="Times New Roman" w:hAnsi="Times New Roman" w:cs="Times New Roman"/>
          <w:i/>
        </w:rPr>
        <w:t>op.cit.</w:t>
      </w:r>
      <w:r w:rsidRPr="00D36BD1">
        <w:rPr>
          <w:rFonts w:ascii="Times New Roman" w:hAnsi="Times New Roman" w:cs="Times New Roman"/>
        </w:rPr>
        <w:t>491.p.</w:t>
      </w:r>
    </w:p>
  </w:footnote>
  <w:footnote w:id="186">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NAGY</w:t>
      </w:r>
      <w:r w:rsidRPr="00D36BD1">
        <w:rPr>
          <w:rFonts w:ascii="Times New Roman" w:hAnsi="Times New Roman" w:cs="Times New Roman"/>
          <w:b/>
        </w:rPr>
        <w:t xml:space="preserve"> </w:t>
      </w:r>
      <w:r w:rsidRPr="00D36BD1">
        <w:rPr>
          <w:rFonts w:ascii="Times New Roman" w:hAnsi="Times New Roman" w:cs="Times New Roman"/>
        </w:rPr>
        <w:t>Zoltán-OLAJOS</w:t>
      </w:r>
      <w:r w:rsidRPr="00D36BD1">
        <w:rPr>
          <w:rFonts w:ascii="Times New Roman" w:hAnsi="Times New Roman" w:cs="Times New Roman"/>
          <w:b/>
        </w:rPr>
        <w:t xml:space="preserve"> </w:t>
      </w:r>
      <w:r w:rsidRPr="00D36BD1">
        <w:rPr>
          <w:rFonts w:ascii="Times New Roman" w:hAnsi="Times New Roman" w:cs="Times New Roman"/>
        </w:rPr>
        <w:t>István-RAISZ</w:t>
      </w:r>
      <w:r w:rsidRPr="00D36BD1">
        <w:rPr>
          <w:rFonts w:ascii="Times New Roman" w:hAnsi="Times New Roman" w:cs="Times New Roman"/>
          <w:b/>
        </w:rPr>
        <w:t xml:space="preserve"> </w:t>
      </w:r>
      <w:r w:rsidRPr="00D36BD1">
        <w:rPr>
          <w:rFonts w:ascii="Times New Roman" w:hAnsi="Times New Roman" w:cs="Times New Roman"/>
        </w:rPr>
        <w:t>Anikó-SZILÁGYI</w:t>
      </w:r>
      <w:r w:rsidRPr="00D36BD1">
        <w:rPr>
          <w:rFonts w:ascii="Times New Roman" w:hAnsi="Times New Roman" w:cs="Times New Roman"/>
          <w:b/>
        </w:rPr>
        <w:t xml:space="preserve"> </w:t>
      </w:r>
      <w:r w:rsidRPr="00D36BD1">
        <w:rPr>
          <w:rFonts w:ascii="Times New Roman" w:hAnsi="Times New Roman" w:cs="Times New Roman"/>
        </w:rPr>
        <w:t>János Ede (2010): Környezetjog II. kötet – Tanulmányok a környezetjogi gondolkodás köréből, Miskolc, Novotni Alapítvány.95.p.</w:t>
      </w:r>
    </w:p>
  </w:footnote>
  <w:footnote w:id="187">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Pr>
          <w:rFonts w:ascii="Times New Roman" w:hAnsi="Times New Roman" w:cs="Times New Roman"/>
        </w:rPr>
        <w:t>2007. évi CXXVII. törvény.</w:t>
      </w:r>
    </w:p>
  </w:footnote>
  <w:footnote w:id="188">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2012. január 1-től mértékét tekintve 27%.</w:t>
      </w:r>
    </w:p>
  </w:footnote>
  <w:footnote w:id="189">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Az Etv-t módosít</w:t>
      </w:r>
      <w:r w:rsidR="008804A4">
        <w:rPr>
          <w:rFonts w:ascii="Times New Roman" w:hAnsi="Times New Roman" w:cs="Times New Roman"/>
        </w:rPr>
        <w:t>ó 2008. évi LXVIII. törvény 11.§ (2) bekezdése, 15.§-a, 18.§-ának (2) bekezdése és 19.</w:t>
      </w:r>
      <w:r w:rsidRPr="00D36BD1">
        <w:rPr>
          <w:rFonts w:ascii="Times New Roman" w:hAnsi="Times New Roman" w:cs="Times New Roman"/>
        </w:rPr>
        <w:t>§-ának (2) bekezdése tartalmazza az új szabályozást.</w:t>
      </w:r>
    </w:p>
  </w:footnote>
  <w:footnote w:id="190">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 BORKA Norbert (2004): Az energiaadóval kapcsolatos szabályoz</w:t>
      </w:r>
      <w:r w:rsidR="008804A4">
        <w:rPr>
          <w:rFonts w:ascii="Times New Roman" w:hAnsi="Times New Roman" w:cs="Times New Roman"/>
        </w:rPr>
        <w:t>ás. Adóvilág, 2004. 6. szám 11.</w:t>
      </w:r>
      <w:r w:rsidRPr="00D36BD1">
        <w:rPr>
          <w:rFonts w:ascii="Times New Roman" w:hAnsi="Times New Roman" w:cs="Times New Roman"/>
        </w:rPr>
        <w:t>p; forrás (2012.07.11.):</w:t>
      </w:r>
      <w:hyperlink r:id="rId38" w:history="1">
        <w:r w:rsidRPr="00CA1492">
          <w:rPr>
            <w:rStyle w:val="Hiperhivatkozs"/>
            <w:rFonts w:ascii="Times New Roman" w:hAnsi="Times New Roman" w:cs="Times New Roman"/>
          </w:rPr>
          <w:t>www.nav.gov.hu</w:t>
        </w:r>
      </w:hyperlink>
    </w:p>
  </w:footnote>
  <w:footnote w:id="191">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008804A4">
        <w:rPr>
          <w:rFonts w:ascii="Times New Roman" w:hAnsi="Times New Roman" w:cs="Times New Roman"/>
        </w:rPr>
        <w:t>Etv. 3.</w:t>
      </w:r>
      <w:r w:rsidRPr="00D36BD1">
        <w:rPr>
          <w:rFonts w:ascii="Times New Roman" w:hAnsi="Times New Roman" w:cs="Times New Roman"/>
        </w:rPr>
        <w:t>§ (2) bek.</w:t>
      </w:r>
    </w:p>
  </w:footnote>
  <w:footnote w:id="192">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008804A4">
        <w:rPr>
          <w:rFonts w:ascii="Times New Roman" w:hAnsi="Times New Roman" w:cs="Times New Roman"/>
        </w:rPr>
        <w:t>Etv. 2.</w:t>
      </w:r>
      <w:r w:rsidRPr="00D36BD1">
        <w:rPr>
          <w:rFonts w:ascii="Times New Roman" w:hAnsi="Times New Roman" w:cs="Times New Roman"/>
        </w:rPr>
        <w:t>§ 5. pont.</w:t>
      </w:r>
    </w:p>
  </w:footnote>
  <w:footnote w:id="193">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008804A4">
        <w:rPr>
          <w:rFonts w:ascii="Times New Roman" w:hAnsi="Times New Roman" w:cs="Times New Roman"/>
        </w:rPr>
        <w:t>Etv. 2.</w:t>
      </w:r>
      <w:r w:rsidRPr="00D36BD1">
        <w:rPr>
          <w:rFonts w:ascii="Times New Roman" w:hAnsi="Times New Roman" w:cs="Times New Roman"/>
        </w:rPr>
        <w:t>§ 6. pont.</w:t>
      </w:r>
    </w:p>
  </w:footnote>
  <w:footnote w:id="194">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Etv. 3</w:t>
      </w:r>
      <w:r w:rsidR="008804A4">
        <w:rPr>
          <w:rFonts w:ascii="Times New Roman" w:hAnsi="Times New Roman" w:cs="Times New Roman"/>
        </w:rPr>
        <w:t>.</w:t>
      </w:r>
      <w:r w:rsidRPr="00D36BD1">
        <w:rPr>
          <w:rFonts w:ascii="Times New Roman" w:hAnsi="Times New Roman" w:cs="Times New Roman"/>
        </w:rPr>
        <w:t>§ (1) bek. b) és g) pontok.</w:t>
      </w:r>
    </w:p>
  </w:footnote>
  <w:footnote w:id="195">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008804A4">
        <w:rPr>
          <w:rFonts w:ascii="Times New Roman" w:hAnsi="Times New Roman" w:cs="Times New Roman"/>
        </w:rPr>
        <w:t>Etv. 2.</w:t>
      </w:r>
      <w:r w:rsidRPr="00D36BD1">
        <w:rPr>
          <w:rFonts w:ascii="Times New Roman" w:hAnsi="Times New Roman" w:cs="Times New Roman"/>
        </w:rPr>
        <w:t>§ 14. pont.</w:t>
      </w:r>
    </w:p>
  </w:footnote>
  <w:footnote w:id="196">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008804A4">
        <w:rPr>
          <w:rFonts w:ascii="Times New Roman" w:hAnsi="Times New Roman" w:cs="Times New Roman"/>
        </w:rPr>
        <w:t>Etv. 2.</w:t>
      </w:r>
      <w:r w:rsidRPr="00D36BD1">
        <w:rPr>
          <w:rFonts w:ascii="Times New Roman" w:hAnsi="Times New Roman" w:cs="Times New Roman"/>
        </w:rPr>
        <w:t>§ 19. pont.</w:t>
      </w:r>
    </w:p>
  </w:footnote>
  <w:footnote w:id="197">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008804A4">
        <w:rPr>
          <w:rFonts w:ascii="Times New Roman" w:hAnsi="Times New Roman" w:cs="Times New Roman"/>
        </w:rPr>
        <w:t>Etv. 2.</w:t>
      </w:r>
      <w:r w:rsidRPr="00D36BD1">
        <w:rPr>
          <w:rFonts w:ascii="Times New Roman" w:hAnsi="Times New Roman" w:cs="Times New Roman"/>
        </w:rPr>
        <w:t>§ 17. pont.</w:t>
      </w:r>
    </w:p>
  </w:footnote>
  <w:footnote w:id="198">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008804A4">
        <w:rPr>
          <w:rFonts w:ascii="Times New Roman" w:hAnsi="Times New Roman" w:cs="Times New Roman"/>
        </w:rPr>
        <w:t>Etv. 3.</w:t>
      </w:r>
      <w:r w:rsidRPr="00D36BD1">
        <w:rPr>
          <w:rFonts w:ascii="Times New Roman" w:hAnsi="Times New Roman" w:cs="Times New Roman"/>
        </w:rPr>
        <w:t>§ (1) bek. c), d), e) pontok.</w:t>
      </w:r>
    </w:p>
  </w:footnote>
  <w:footnote w:id="199">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008804A4">
        <w:rPr>
          <w:rFonts w:ascii="Times New Roman" w:hAnsi="Times New Roman" w:cs="Times New Roman"/>
        </w:rPr>
        <w:t>Etv. 4.</w:t>
      </w:r>
      <w:r w:rsidRPr="00D36BD1">
        <w:rPr>
          <w:rFonts w:ascii="Times New Roman" w:hAnsi="Times New Roman" w:cs="Times New Roman"/>
        </w:rPr>
        <w:t>§ (1) bek.</w:t>
      </w:r>
    </w:p>
  </w:footnote>
  <w:footnote w:id="200">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008804A4">
        <w:rPr>
          <w:rFonts w:ascii="Times New Roman" w:hAnsi="Times New Roman" w:cs="Times New Roman"/>
        </w:rPr>
        <w:t>Etv. 4.</w:t>
      </w:r>
      <w:r w:rsidRPr="00D36BD1">
        <w:rPr>
          <w:rFonts w:ascii="Times New Roman" w:hAnsi="Times New Roman" w:cs="Times New Roman"/>
        </w:rPr>
        <w:t>§ (2) bek. A törvény hatályba lépésével (2004. január 1-én) ezek a mértékek villamos energiánál 186 Ft/MWh, földgáznál pedig 56 Ft/ GJ voltak.</w:t>
      </w:r>
    </w:p>
  </w:footnote>
  <w:footnote w:id="201">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008804A4">
        <w:rPr>
          <w:rFonts w:ascii="Times New Roman" w:hAnsi="Times New Roman" w:cs="Times New Roman"/>
        </w:rPr>
        <w:t xml:space="preserve">Etv. 6.§ </w:t>
      </w:r>
      <w:r w:rsidRPr="00D36BD1">
        <w:rPr>
          <w:rFonts w:ascii="Times New Roman" w:hAnsi="Times New Roman" w:cs="Times New Roman"/>
        </w:rPr>
        <w:t>(1) bek. a) pont.</w:t>
      </w:r>
    </w:p>
  </w:footnote>
  <w:footnote w:id="202">
    <w:p w:rsidR="00812916" w:rsidRPr="00D36BD1" w:rsidRDefault="00812916" w:rsidP="00D36BD1">
      <w:pPr>
        <w:autoSpaceDE w:val="0"/>
        <w:autoSpaceDN w:val="0"/>
        <w:adjustRightInd w:val="0"/>
        <w:spacing w:after="0" w:line="240" w:lineRule="auto"/>
        <w:jc w:val="both"/>
        <w:rPr>
          <w:rFonts w:ascii="Times New Roman" w:hAnsi="Times New Roman" w:cs="Times New Roman"/>
          <w:sz w:val="20"/>
          <w:szCs w:val="20"/>
        </w:rPr>
      </w:pPr>
      <w:r w:rsidRPr="00D36BD1">
        <w:rPr>
          <w:rStyle w:val="Lbjegyzet-hivatkozs"/>
          <w:sz w:val="20"/>
          <w:szCs w:val="20"/>
        </w:rPr>
        <w:footnoteRef/>
      </w:r>
      <w:r w:rsidRPr="00D36BD1">
        <w:rPr>
          <w:rFonts w:ascii="Times New Roman" w:hAnsi="Times New Roman" w:cs="Times New Roman"/>
          <w:sz w:val="20"/>
          <w:szCs w:val="20"/>
        </w:rPr>
        <w:t xml:space="preserve">Megjegyezendő, hogy a saját felhasználásra termelt villamos energia előállítása esetén, ha az alapanyagra az előállító visszaigénylést érvényesített, a felhasznált saját villamos energia után köteles az adót megfizetni. In: BORKA (2004.) </w:t>
      </w:r>
      <w:r w:rsidRPr="00D36BD1">
        <w:rPr>
          <w:rFonts w:ascii="Times New Roman" w:hAnsi="Times New Roman" w:cs="Times New Roman"/>
          <w:i/>
          <w:sz w:val="20"/>
          <w:szCs w:val="20"/>
        </w:rPr>
        <w:t>op.cit</w:t>
      </w:r>
      <w:r w:rsidR="008804A4">
        <w:rPr>
          <w:rFonts w:ascii="Times New Roman" w:hAnsi="Times New Roman" w:cs="Times New Roman"/>
          <w:sz w:val="20"/>
          <w:szCs w:val="20"/>
        </w:rPr>
        <w:t>.16.</w:t>
      </w:r>
      <w:r w:rsidRPr="00D36BD1">
        <w:rPr>
          <w:rFonts w:ascii="Times New Roman" w:hAnsi="Times New Roman" w:cs="Times New Roman"/>
          <w:sz w:val="20"/>
          <w:szCs w:val="20"/>
        </w:rPr>
        <w:t>p.</w:t>
      </w:r>
    </w:p>
  </w:footnote>
  <w:footnote w:id="203">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Pr="00D36BD1">
        <w:rPr>
          <w:rFonts w:ascii="Times New Roman" w:hAnsi="Times New Roman" w:cs="Times New Roman"/>
        </w:rPr>
        <w:t xml:space="preserve">Ebben a környezetkímélő technológiák támogatása jut kifejezésre. In: BORKA (2004.) </w:t>
      </w:r>
      <w:r w:rsidRPr="00D36BD1">
        <w:rPr>
          <w:rFonts w:ascii="Times New Roman" w:hAnsi="Times New Roman" w:cs="Times New Roman"/>
          <w:i/>
        </w:rPr>
        <w:t>op.cit</w:t>
      </w:r>
      <w:r w:rsidR="008804A4">
        <w:rPr>
          <w:rFonts w:ascii="Times New Roman" w:hAnsi="Times New Roman" w:cs="Times New Roman"/>
        </w:rPr>
        <w:t>.16.</w:t>
      </w:r>
      <w:r w:rsidRPr="00D36BD1">
        <w:rPr>
          <w:rFonts w:ascii="Times New Roman" w:hAnsi="Times New Roman" w:cs="Times New Roman"/>
        </w:rPr>
        <w:t>p.</w:t>
      </w:r>
    </w:p>
  </w:footnote>
  <w:footnote w:id="204">
    <w:p w:rsidR="00812916" w:rsidRPr="00D36BD1" w:rsidRDefault="00812916" w:rsidP="00D36BD1">
      <w:pPr>
        <w:pStyle w:val="Lbjegyzetszveg"/>
        <w:jc w:val="both"/>
        <w:rPr>
          <w:rFonts w:ascii="Times New Roman" w:hAnsi="Times New Roman" w:cs="Times New Roman"/>
        </w:rPr>
      </w:pPr>
      <w:r w:rsidRPr="00D36BD1">
        <w:rPr>
          <w:rStyle w:val="Lbjegyzet-hivatkozs"/>
        </w:rPr>
        <w:footnoteRef/>
      </w:r>
      <w:r w:rsidR="008804A4">
        <w:rPr>
          <w:rFonts w:ascii="Times New Roman" w:hAnsi="Times New Roman" w:cs="Times New Roman"/>
        </w:rPr>
        <w:t xml:space="preserve">Etv. 6.§ </w:t>
      </w:r>
      <w:r w:rsidRPr="00D36BD1">
        <w:rPr>
          <w:rFonts w:ascii="Times New Roman" w:hAnsi="Times New Roman" w:cs="Times New Roman"/>
        </w:rPr>
        <w:t>(1) bek. c) pont.</w:t>
      </w:r>
    </w:p>
  </w:footnote>
  <w:footnote w:id="205">
    <w:p w:rsidR="00812916" w:rsidRPr="00F07551" w:rsidRDefault="00812916" w:rsidP="00D36BD1">
      <w:pPr>
        <w:pStyle w:val="Lbjegyzetszveg"/>
        <w:jc w:val="both"/>
        <w:rPr>
          <w:rFonts w:ascii="Times New Roman" w:hAnsi="Times New Roman" w:cs="Times New Roman"/>
        </w:rPr>
      </w:pPr>
      <w:r w:rsidRPr="00D36BD1">
        <w:rPr>
          <w:rStyle w:val="Lbjegyzet-hivatkozs"/>
        </w:rPr>
        <w:footnoteRef/>
      </w:r>
      <w:r w:rsidRPr="00F07551">
        <w:rPr>
          <w:rFonts w:ascii="Times New Roman" w:hAnsi="Times New Roman" w:cs="Times New Roman"/>
        </w:rPr>
        <w:t>Az adó – visszaigénylés más esetekben teljesen kizárt, így arra nincs lehetőség akkor, hogy ha nem közvetlenül a lakosság számára értékesítik, hanem pl. egy másik vállalkozáson keresztül juttatják el a lakosság irányába.</w:t>
      </w:r>
    </w:p>
  </w:footnote>
  <w:footnote w:id="206">
    <w:p w:rsidR="00812916" w:rsidRPr="00F07551" w:rsidRDefault="00812916" w:rsidP="00D36BD1">
      <w:pPr>
        <w:pStyle w:val="Lbjegyzetszveg"/>
        <w:jc w:val="both"/>
        <w:rPr>
          <w:rFonts w:ascii="Times New Roman" w:hAnsi="Times New Roman" w:cs="Times New Roman"/>
        </w:rPr>
      </w:pPr>
      <w:r w:rsidRPr="00F07551">
        <w:rPr>
          <w:rStyle w:val="Lbjegyzet-hivatkozs"/>
        </w:rPr>
        <w:footnoteRef/>
      </w:r>
      <w:r w:rsidR="008804A4">
        <w:rPr>
          <w:rFonts w:ascii="Times New Roman" w:hAnsi="Times New Roman" w:cs="Times New Roman"/>
        </w:rPr>
        <w:t>Etv. 6.</w:t>
      </w:r>
      <w:r w:rsidRPr="00F07551">
        <w:rPr>
          <w:rFonts w:ascii="Times New Roman" w:hAnsi="Times New Roman" w:cs="Times New Roman"/>
        </w:rPr>
        <w:t>§ (1) bek. d) – i) pontok.</w:t>
      </w:r>
    </w:p>
  </w:footnote>
  <w:footnote w:id="207">
    <w:p w:rsidR="00812916" w:rsidRPr="00F07551" w:rsidRDefault="00812916" w:rsidP="00D36BD1">
      <w:pPr>
        <w:pStyle w:val="Lbjegyzetszveg"/>
        <w:jc w:val="both"/>
        <w:rPr>
          <w:rFonts w:ascii="Times New Roman" w:hAnsi="Times New Roman" w:cs="Times New Roman"/>
        </w:rPr>
      </w:pPr>
      <w:r w:rsidRPr="00F07551">
        <w:rPr>
          <w:rStyle w:val="Lbjegyzet-hivatkozs"/>
        </w:rPr>
        <w:footnoteRef/>
      </w:r>
      <w:r w:rsidRPr="00F07551">
        <w:rPr>
          <w:rFonts w:ascii="Times New Roman" w:hAnsi="Times New Roman" w:cs="Times New Roman"/>
        </w:rPr>
        <w:t>Kémiai redukció, elektrolitikus és kohászati folyamatok esetén. Kohászati felhasználásnak minősül: kokszgyártás, zsugorítmánygyártás, acélgyártás, nyersvasgyártás, meleg hengerlés, hideghengerlés.</w:t>
      </w:r>
    </w:p>
  </w:footnote>
  <w:footnote w:id="208">
    <w:p w:rsidR="00812916" w:rsidRPr="00D36BD1" w:rsidRDefault="00812916" w:rsidP="00D36BD1">
      <w:pPr>
        <w:pStyle w:val="Lbjegyzetszveg"/>
        <w:jc w:val="both"/>
        <w:rPr>
          <w:rFonts w:ascii="Times New Roman" w:hAnsi="Times New Roman" w:cs="Times New Roman"/>
        </w:rPr>
      </w:pPr>
      <w:r w:rsidRPr="00F07551">
        <w:rPr>
          <w:rStyle w:val="Lbjegyzet-hivatkozs"/>
        </w:rPr>
        <w:footnoteRef/>
      </w:r>
      <w:r w:rsidRPr="00F07551">
        <w:rPr>
          <w:rFonts w:ascii="Times New Roman" w:hAnsi="Times New Roman" w:cs="Times New Roman"/>
        </w:rPr>
        <w:t>Environmental taxes in Hun</w:t>
      </w:r>
      <w:r w:rsidR="008804A4">
        <w:rPr>
          <w:rFonts w:ascii="Times New Roman" w:hAnsi="Times New Roman" w:cs="Times New Roman"/>
        </w:rPr>
        <w:t>gary: Final Report (2011.),16.</w:t>
      </w:r>
      <w:r w:rsidRPr="00F07551">
        <w:rPr>
          <w:rFonts w:ascii="Times New Roman" w:hAnsi="Times New Roman" w:cs="Times New Roman"/>
        </w:rPr>
        <w:t>p; forrás (2012.07.12.):</w:t>
      </w:r>
      <w:hyperlink r:id="rId39" w:history="1">
        <w:r w:rsidRPr="00CA1492">
          <w:rPr>
            <w:rStyle w:val="Hiperhivatkozs"/>
            <w:rFonts w:ascii="Times New Roman" w:hAnsi="Times New Roman" w:cs="Times New Roman"/>
          </w:rPr>
          <w:t>www.ksh.hu</w:t>
        </w:r>
      </w:hyperlink>
      <w:r>
        <w:t xml:space="preserve"> </w:t>
      </w:r>
      <w:r w:rsidRPr="00F07551">
        <w:rPr>
          <w:rFonts w:ascii="Times New Roman" w:hAnsi="Times New Roman" w:cs="Times New Roman"/>
        </w:rPr>
        <w:t>A képen jól látszik, hogy mindkét szektorban az energiaadó teszi ki a költségvetési bevételek legnagyobb részét, amely GDP %-ban kb. 70%-ot jelent. Fentről lefelé: energiaadók, szennyezési adók, erőforrás adók és a közlekedési adók</w:t>
      </w:r>
      <w:r w:rsidRPr="00D36BD1">
        <w:rPr>
          <w:rFonts w:ascii="Times New Roman" w:hAnsi="Times New Roman" w:cs="Times New Roman"/>
        </w:rPr>
        <w:t>.</w:t>
      </w:r>
    </w:p>
  </w:footnote>
  <w:footnote w:id="209">
    <w:p w:rsidR="00812916" w:rsidRPr="00F07551" w:rsidRDefault="00812916" w:rsidP="00D36BD1">
      <w:pPr>
        <w:pStyle w:val="Lbjegyzetszveg"/>
        <w:jc w:val="both"/>
        <w:rPr>
          <w:rFonts w:ascii="Times New Roman" w:hAnsi="Times New Roman" w:cs="Times New Roman"/>
          <w:lang w:val="en-GB"/>
        </w:rPr>
      </w:pPr>
      <w:r w:rsidRPr="00D36BD1">
        <w:rPr>
          <w:rStyle w:val="Lbjegyzet-hivatkozs"/>
        </w:rPr>
        <w:footnoteRef/>
      </w:r>
      <w:r w:rsidRPr="00F07551">
        <w:rPr>
          <w:rFonts w:ascii="Times New Roman" w:hAnsi="Times New Roman" w:cs="Times New Roman"/>
          <w:lang w:val="en-GB"/>
        </w:rPr>
        <w:t>Commission Green Paper on Market-based Instruments for Environment a</w:t>
      </w:r>
      <w:r w:rsidR="008804A4">
        <w:rPr>
          <w:rFonts w:ascii="Times New Roman" w:hAnsi="Times New Roman" w:cs="Times New Roman"/>
          <w:lang w:val="en-GB"/>
        </w:rPr>
        <w:t>nd Related policy Purposes, 15.</w:t>
      </w:r>
      <w:r w:rsidRPr="00F07551">
        <w:rPr>
          <w:rFonts w:ascii="Times New Roman" w:hAnsi="Times New Roman" w:cs="Times New Roman"/>
          <w:lang w:val="en-GB"/>
        </w:rPr>
        <w:t>p., COM (2007) 140 final, (2007. március 28.); forrás (2012.08.01.):</w:t>
      </w:r>
    </w:p>
    <w:p w:rsidR="00812916" w:rsidRPr="00D36BD1" w:rsidRDefault="00377C43" w:rsidP="00D36BD1">
      <w:pPr>
        <w:pStyle w:val="Lbjegyzetszveg"/>
        <w:jc w:val="both"/>
        <w:rPr>
          <w:rFonts w:ascii="Times New Roman" w:hAnsi="Times New Roman" w:cs="Times New Roman"/>
        </w:rPr>
      </w:pPr>
      <w:hyperlink w:history="1">
        <w:r w:rsidR="00812916" w:rsidRPr="00F07551">
          <w:rPr>
            <w:rStyle w:val="Hiperhivatkozs"/>
            <w:rFonts w:ascii="Times New Roman" w:hAnsi="Times New Roman" w:cs="Times New Roman"/>
            <w:lang w:val="en-GB"/>
          </w:rPr>
          <w:t>http://eur lex.europa.eu/LexUriServ/site/en/com/2007/com2007_0140en01.pdf</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2658A"/>
    <w:multiLevelType w:val="hybridMultilevel"/>
    <w:tmpl w:val="C7745836"/>
    <w:lvl w:ilvl="0" w:tplc="A72A953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322206FA"/>
    <w:multiLevelType w:val="hybridMultilevel"/>
    <w:tmpl w:val="A96ADA28"/>
    <w:lvl w:ilvl="0" w:tplc="7DC8C5FA">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2">
    <w:nsid w:val="3B6851CA"/>
    <w:multiLevelType w:val="hybridMultilevel"/>
    <w:tmpl w:val="AF668628"/>
    <w:lvl w:ilvl="0" w:tplc="D4986852">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3F2A75CD"/>
    <w:multiLevelType w:val="hybridMultilevel"/>
    <w:tmpl w:val="47340BF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7A5A1697"/>
    <w:multiLevelType w:val="hybridMultilevel"/>
    <w:tmpl w:val="FC8E80EC"/>
    <w:lvl w:ilvl="0" w:tplc="5A9EC700">
      <w:start w:val="3"/>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rawingGridHorizontalSpacing w:val="110"/>
  <w:drawingGridVerticalSpacing w:val="181"/>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1284"/>
    <w:rsid w:val="00016431"/>
    <w:rsid w:val="000201C0"/>
    <w:rsid w:val="00026A20"/>
    <w:rsid w:val="0002763B"/>
    <w:rsid w:val="00042E7E"/>
    <w:rsid w:val="0004426F"/>
    <w:rsid w:val="00053A87"/>
    <w:rsid w:val="000606F7"/>
    <w:rsid w:val="00066BF5"/>
    <w:rsid w:val="0007002D"/>
    <w:rsid w:val="00095671"/>
    <w:rsid w:val="000A647E"/>
    <w:rsid w:val="000B23CC"/>
    <w:rsid w:val="000B5178"/>
    <w:rsid w:val="000B6D2B"/>
    <w:rsid w:val="000C7DE5"/>
    <w:rsid w:val="000D34DB"/>
    <w:rsid w:val="000E0083"/>
    <w:rsid w:val="000F01ED"/>
    <w:rsid w:val="000F30B4"/>
    <w:rsid w:val="000F45E1"/>
    <w:rsid w:val="00101B4B"/>
    <w:rsid w:val="00105D00"/>
    <w:rsid w:val="0011247F"/>
    <w:rsid w:val="001268EF"/>
    <w:rsid w:val="00143FFA"/>
    <w:rsid w:val="001518E5"/>
    <w:rsid w:val="0018195B"/>
    <w:rsid w:val="001871C9"/>
    <w:rsid w:val="001A5824"/>
    <w:rsid w:val="001A7D69"/>
    <w:rsid w:val="001C4F3E"/>
    <w:rsid w:val="001D1861"/>
    <w:rsid w:val="001E734B"/>
    <w:rsid w:val="002042A3"/>
    <w:rsid w:val="00206BFC"/>
    <w:rsid w:val="0021536D"/>
    <w:rsid w:val="0021769D"/>
    <w:rsid w:val="00222138"/>
    <w:rsid w:val="00232FC8"/>
    <w:rsid w:val="002351C9"/>
    <w:rsid w:val="00240D90"/>
    <w:rsid w:val="00254408"/>
    <w:rsid w:val="002612F0"/>
    <w:rsid w:val="00273601"/>
    <w:rsid w:val="002813B3"/>
    <w:rsid w:val="00284612"/>
    <w:rsid w:val="00287641"/>
    <w:rsid w:val="0029313D"/>
    <w:rsid w:val="002956E6"/>
    <w:rsid w:val="002A3B84"/>
    <w:rsid w:val="002A5FB5"/>
    <w:rsid w:val="002F17D5"/>
    <w:rsid w:val="00324C9F"/>
    <w:rsid w:val="003427DD"/>
    <w:rsid w:val="00344B6C"/>
    <w:rsid w:val="0036604A"/>
    <w:rsid w:val="00377C43"/>
    <w:rsid w:val="00385661"/>
    <w:rsid w:val="00392E5E"/>
    <w:rsid w:val="0039301A"/>
    <w:rsid w:val="00395523"/>
    <w:rsid w:val="003B033F"/>
    <w:rsid w:val="003B0BBA"/>
    <w:rsid w:val="003B7ED3"/>
    <w:rsid w:val="003E0439"/>
    <w:rsid w:val="003E1697"/>
    <w:rsid w:val="003F0514"/>
    <w:rsid w:val="003F0E2A"/>
    <w:rsid w:val="004006F3"/>
    <w:rsid w:val="00401B3A"/>
    <w:rsid w:val="0040260C"/>
    <w:rsid w:val="004037B8"/>
    <w:rsid w:val="0041018B"/>
    <w:rsid w:val="00413518"/>
    <w:rsid w:val="00416310"/>
    <w:rsid w:val="0042290A"/>
    <w:rsid w:val="00433414"/>
    <w:rsid w:val="00435108"/>
    <w:rsid w:val="004521B6"/>
    <w:rsid w:val="0045517C"/>
    <w:rsid w:val="0045546C"/>
    <w:rsid w:val="00460FDE"/>
    <w:rsid w:val="00466BA0"/>
    <w:rsid w:val="00471D60"/>
    <w:rsid w:val="00497589"/>
    <w:rsid w:val="004A06B5"/>
    <w:rsid w:val="004A1C84"/>
    <w:rsid w:val="004A6BDC"/>
    <w:rsid w:val="004A7EA1"/>
    <w:rsid w:val="004B3313"/>
    <w:rsid w:val="004C45EC"/>
    <w:rsid w:val="004D47A7"/>
    <w:rsid w:val="004E045F"/>
    <w:rsid w:val="004E7F80"/>
    <w:rsid w:val="004F1AC4"/>
    <w:rsid w:val="004F2784"/>
    <w:rsid w:val="004F323E"/>
    <w:rsid w:val="004F4EE5"/>
    <w:rsid w:val="004F5106"/>
    <w:rsid w:val="00500343"/>
    <w:rsid w:val="00503A16"/>
    <w:rsid w:val="005319D5"/>
    <w:rsid w:val="0054102E"/>
    <w:rsid w:val="00544F21"/>
    <w:rsid w:val="0055345C"/>
    <w:rsid w:val="00553EC2"/>
    <w:rsid w:val="00554787"/>
    <w:rsid w:val="00571178"/>
    <w:rsid w:val="00580AF2"/>
    <w:rsid w:val="005830DB"/>
    <w:rsid w:val="00590C1A"/>
    <w:rsid w:val="005A1284"/>
    <w:rsid w:val="005B4348"/>
    <w:rsid w:val="005E3896"/>
    <w:rsid w:val="005E4D28"/>
    <w:rsid w:val="005F799D"/>
    <w:rsid w:val="00601077"/>
    <w:rsid w:val="00607405"/>
    <w:rsid w:val="00625E74"/>
    <w:rsid w:val="006341CD"/>
    <w:rsid w:val="00643607"/>
    <w:rsid w:val="006464B7"/>
    <w:rsid w:val="00656387"/>
    <w:rsid w:val="006709E7"/>
    <w:rsid w:val="00675C6D"/>
    <w:rsid w:val="00682295"/>
    <w:rsid w:val="00682547"/>
    <w:rsid w:val="00686D4C"/>
    <w:rsid w:val="0069191A"/>
    <w:rsid w:val="006B02CA"/>
    <w:rsid w:val="006B1BD9"/>
    <w:rsid w:val="006B3B26"/>
    <w:rsid w:val="006C5B91"/>
    <w:rsid w:val="006E5E73"/>
    <w:rsid w:val="006F30B0"/>
    <w:rsid w:val="00706A03"/>
    <w:rsid w:val="00743ADB"/>
    <w:rsid w:val="00747379"/>
    <w:rsid w:val="00752782"/>
    <w:rsid w:val="007703EB"/>
    <w:rsid w:val="007754C3"/>
    <w:rsid w:val="00776DB2"/>
    <w:rsid w:val="0078579F"/>
    <w:rsid w:val="00793BC2"/>
    <w:rsid w:val="007A2EE0"/>
    <w:rsid w:val="007A7E5C"/>
    <w:rsid w:val="007B40D5"/>
    <w:rsid w:val="007C6245"/>
    <w:rsid w:val="007D10B3"/>
    <w:rsid w:val="007D2102"/>
    <w:rsid w:val="007D43EB"/>
    <w:rsid w:val="007D79BD"/>
    <w:rsid w:val="00807BCC"/>
    <w:rsid w:val="00812916"/>
    <w:rsid w:val="00834418"/>
    <w:rsid w:val="0084490F"/>
    <w:rsid w:val="00846525"/>
    <w:rsid w:val="008527F7"/>
    <w:rsid w:val="008540A4"/>
    <w:rsid w:val="00854C9B"/>
    <w:rsid w:val="00873D0E"/>
    <w:rsid w:val="008766DC"/>
    <w:rsid w:val="008804A4"/>
    <w:rsid w:val="00890D9A"/>
    <w:rsid w:val="008A0729"/>
    <w:rsid w:val="008D0498"/>
    <w:rsid w:val="008D0D8B"/>
    <w:rsid w:val="008D2B02"/>
    <w:rsid w:val="008E3FD6"/>
    <w:rsid w:val="008F3BE4"/>
    <w:rsid w:val="009127AD"/>
    <w:rsid w:val="00924D2E"/>
    <w:rsid w:val="00930910"/>
    <w:rsid w:val="009315D3"/>
    <w:rsid w:val="00933263"/>
    <w:rsid w:val="00954B9C"/>
    <w:rsid w:val="00964883"/>
    <w:rsid w:val="00986992"/>
    <w:rsid w:val="00991B3A"/>
    <w:rsid w:val="009B5A9A"/>
    <w:rsid w:val="009C0F51"/>
    <w:rsid w:val="009C3660"/>
    <w:rsid w:val="00A00B8E"/>
    <w:rsid w:val="00A16516"/>
    <w:rsid w:val="00A311F2"/>
    <w:rsid w:val="00A342F3"/>
    <w:rsid w:val="00A4095A"/>
    <w:rsid w:val="00A43227"/>
    <w:rsid w:val="00A437AE"/>
    <w:rsid w:val="00A4498E"/>
    <w:rsid w:val="00A5160D"/>
    <w:rsid w:val="00A53C9D"/>
    <w:rsid w:val="00A54370"/>
    <w:rsid w:val="00A71065"/>
    <w:rsid w:val="00A805BC"/>
    <w:rsid w:val="00A97A16"/>
    <w:rsid w:val="00AA7792"/>
    <w:rsid w:val="00AA77DD"/>
    <w:rsid w:val="00AB59AB"/>
    <w:rsid w:val="00AC152A"/>
    <w:rsid w:val="00AD5718"/>
    <w:rsid w:val="00B10902"/>
    <w:rsid w:val="00B14F1A"/>
    <w:rsid w:val="00B17909"/>
    <w:rsid w:val="00B20C58"/>
    <w:rsid w:val="00B42EE1"/>
    <w:rsid w:val="00B5132C"/>
    <w:rsid w:val="00B67393"/>
    <w:rsid w:val="00B733FF"/>
    <w:rsid w:val="00B91D00"/>
    <w:rsid w:val="00B925D5"/>
    <w:rsid w:val="00BA0582"/>
    <w:rsid w:val="00BB44BE"/>
    <w:rsid w:val="00BC2DD3"/>
    <w:rsid w:val="00BC57DF"/>
    <w:rsid w:val="00BD46D5"/>
    <w:rsid w:val="00BF1E2F"/>
    <w:rsid w:val="00BF2C6A"/>
    <w:rsid w:val="00BF3E07"/>
    <w:rsid w:val="00BF538B"/>
    <w:rsid w:val="00C02E75"/>
    <w:rsid w:val="00C04BB2"/>
    <w:rsid w:val="00C10DF6"/>
    <w:rsid w:val="00C10E6B"/>
    <w:rsid w:val="00C22802"/>
    <w:rsid w:val="00C32677"/>
    <w:rsid w:val="00C42E85"/>
    <w:rsid w:val="00C51CD8"/>
    <w:rsid w:val="00C60259"/>
    <w:rsid w:val="00C70284"/>
    <w:rsid w:val="00C7508B"/>
    <w:rsid w:val="00C91947"/>
    <w:rsid w:val="00C92FB9"/>
    <w:rsid w:val="00CA0105"/>
    <w:rsid w:val="00CA235B"/>
    <w:rsid w:val="00CB0E0C"/>
    <w:rsid w:val="00CD60B4"/>
    <w:rsid w:val="00CD6A6B"/>
    <w:rsid w:val="00CD72A4"/>
    <w:rsid w:val="00CF6C74"/>
    <w:rsid w:val="00D05254"/>
    <w:rsid w:val="00D063EC"/>
    <w:rsid w:val="00D17A52"/>
    <w:rsid w:val="00D36BD1"/>
    <w:rsid w:val="00D45ACB"/>
    <w:rsid w:val="00D5079B"/>
    <w:rsid w:val="00D52D39"/>
    <w:rsid w:val="00D56149"/>
    <w:rsid w:val="00D6666F"/>
    <w:rsid w:val="00D82DF6"/>
    <w:rsid w:val="00D86700"/>
    <w:rsid w:val="00D92759"/>
    <w:rsid w:val="00DA30C8"/>
    <w:rsid w:val="00DA46C6"/>
    <w:rsid w:val="00DB3782"/>
    <w:rsid w:val="00DB390C"/>
    <w:rsid w:val="00DC55D9"/>
    <w:rsid w:val="00DD6E86"/>
    <w:rsid w:val="00DE55B8"/>
    <w:rsid w:val="00DF350A"/>
    <w:rsid w:val="00E0629A"/>
    <w:rsid w:val="00E11D64"/>
    <w:rsid w:val="00E1243C"/>
    <w:rsid w:val="00E20BB8"/>
    <w:rsid w:val="00E23DAE"/>
    <w:rsid w:val="00E23F1B"/>
    <w:rsid w:val="00E26104"/>
    <w:rsid w:val="00E319C9"/>
    <w:rsid w:val="00E323AC"/>
    <w:rsid w:val="00E376DE"/>
    <w:rsid w:val="00E83693"/>
    <w:rsid w:val="00E84682"/>
    <w:rsid w:val="00E96D95"/>
    <w:rsid w:val="00EB025F"/>
    <w:rsid w:val="00ED5104"/>
    <w:rsid w:val="00EE1051"/>
    <w:rsid w:val="00EF4934"/>
    <w:rsid w:val="00EF5F19"/>
    <w:rsid w:val="00EF6FC8"/>
    <w:rsid w:val="00F00F75"/>
    <w:rsid w:val="00F04C3A"/>
    <w:rsid w:val="00F07551"/>
    <w:rsid w:val="00F20168"/>
    <w:rsid w:val="00F27328"/>
    <w:rsid w:val="00F33C55"/>
    <w:rsid w:val="00F43098"/>
    <w:rsid w:val="00F50855"/>
    <w:rsid w:val="00F55DDD"/>
    <w:rsid w:val="00F66AB4"/>
    <w:rsid w:val="00F71F22"/>
    <w:rsid w:val="00F76281"/>
    <w:rsid w:val="00F85EF9"/>
    <w:rsid w:val="00FA42F9"/>
    <w:rsid w:val="00FB47F7"/>
    <w:rsid w:val="00FD0B21"/>
    <w:rsid w:val="00FD7D52"/>
    <w:rsid w:val="00FE2149"/>
    <w:rsid w:val="00FE5CC0"/>
    <w:rsid w:val="00FE5CD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paragraph" w:styleId="Cmsor1">
    <w:name w:val="heading 1"/>
    <w:basedOn w:val="Norml"/>
    <w:next w:val="Norml"/>
    <w:link w:val="Cmsor1Char"/>
    <w:uiPriority w:val="9"/>
    <w:qFormat/>
    <w:rsid w:val="000B6D2B"/>
    <w:pPr>
      <w:spacing w:before="480" w:after="0"/>
      <w:contextualSpacing/>
      <w:outlineLvl w:val="0"/>
    </w:pPr>
    <w:rPr>
      <w:rFonts w:asciiTheme="majorHAnsi" w:eastAsiaTheme="majorEastAsia" w:hAnsiTheme="majorHAnsi" w:cstheme="majorBidi"/>
      <w:b/>
      <w:bCs/>
      <w:sz w:val="28"/>
      <w:szCs w:val="28"/>
    </w:rPr>
  </w:style>
  <w:style w:type="paragraph" w:styleId="Cmsor2">
    <w:name w:val="heading 2"/>
    <w:basedOn w:val="Norml"/>
    <w:next w:val="Norml"/>
    <w:link w:val="Cmsor2Char"/>
    <w:uiPriority w:val="9"/>
    <w:unhideWhenUsed/>
    <w:qFormat/>
    <w:rsid w:val="000B6D2B"/>
    <w:pPr>
      <w:spacing w:before="200" w:after="0"/>
      <w:outlineLvl w:val="1"/>
    </w:pPr>
    <w:rPr>
      <w:rFonts w:asciiTheme="majorHAnsi" w:eastAsiaTheme="majorEastAsia" w:hAnsiTheme="majorHAnsi" w:cstheme="majorBidi"/>
      <w:b/>
      <w:bCs/>
      <w:sz w:val="26"/>
      <w:szCs w:val="26"/>
    </w:rPr>
  </w:style>
  <w:style w:type="paragraph" w:styleId="Cmsor3">
    <w:name w:val="heading 3"/>
    <w:basedOn w:val="Norml"/>
    <w:next w:val="Norml"/>
    <w:link w:val="Cmsor3Char"/>
    <w:uiPriority w:val="9"/>
    <w:unhideWhenUsed/>
    <w:qFormat/>
    <w:rsid w:val="000B6D2B"/>
    <w:pPr>
      <w:spacing w:before="200" w:after="0" w:line="271" w:lineRule="auto"/>
      <w:outlineLvl w:val="2"/>
    </w:pPr>
    <w:rPr>
      <w:rFonts w:asciiTheme="majorHAnsi" w:eastAsiaTheme="majorEastAsia" w:hAnsiTheme="majorHAnsi" w:cstheme="majorBidi"/>
      <w:b/>
      <w:bCs/>
    </w:rPr>
  </w:style>
  <w:style w:type="paragraph" w:styleId="Cmsor4">
    <w:name w:val="heading 4"/>
    <w:basedOn w:val="Norml"/>
    <w:next w:val="Norml"/>
    <w:link w:val="Cmsor4Char"/>
    <w:uiPriority w:val="9"/>
    <w:unhideWhenUsed/>
    <w:qFormat/>
    <w:rsid w:val="000B6D2B"/>
    <w:pPr>
      <w:spacing w:before="200" w:after="0"/>
      <w:outlineLvl w:val="3"/>
    </w:pPr>
    <w:rPr>
      <w:rFonts w:asciiTheme="majorHAnsi" w:eastAsiaTheme="majorEastAsia" w:hAnsiTheme="majorHAnsi" w:cstheme="majorBidi"/>
      <w:b/>
      <w:bCs/>
      <w:i/>
      <w:iCs/>
    </w:rPr>
  </w:style>
  <w:style w:type="paragraph" w:styleId="Cmsor5">
    <w:name w:val="heading 5"/>
    <w:basedOn w:val="Norml"/>
    <w:next w:val="Norml"/>
    <w:link w:val="Cmsor5Char"/>
    <w:uiPriority w:val="9"/>
    <w:semiHidden/>
    <w:unhideWhenUsed/>
    <w:qFormat/>
    <w:rsid w:val="000B6D2B"/>
    <w:pPr>
      <w:spacing w:before="200" w:after="0"/>
      <w:outlineLvl w:val="4"/>
    </w:pPr>
    <w:rPr>
      <w:rFonts w:asciiTheme="majorHAnsi" w:eastAsiaTheme="majorEastAsia" w:hAnsiTheme="majorHAnsi" w:cstheme="majorBidi"/>
      <w:b/>
      <w:bCs/>
      <w:color w:val="7F7F7F" w:themeColor="text1" w:themeTint="80"/>
    </w:rPr>
  </w:style>
  <w:style w:type="paragraph" w:styleId="Cmsor6">
    <w:name w:val="heading 6"/>
    <w:basedOn w:val="Norml"/>
    <w:next w:val="Norml"/>
    <w:link w:val="Cmsor6Char"/>
    <w:uiPriority w:val="9"/>
    <w:semiHidden/>
    <w:unhideWhenUsed/>
    <w:qFormat/>
    <w:rsid w:val="000B6D2B"/>
    <w:pPr>
      <w:spacing w:after="0" w:line="271" w:lineRule="auto"/>
      <w:outlineLvl w:val="5"/>
    </w:pPr>
    <w:rPr>
      <w:rFonts w:asciiTheme="majorHAnsi" w:eastAsiaTheme="majorEastAsia" w:hAnsiTheme="majorHAnsi" w:cstheme="majorBidi"/>
      <w:b/>
      <w:bCs/>
      <w:i/>
      <w:iCs/>
      <w:color w:val="7F7F7F" w:themeColor="text1" w:themeTint="80"/>
    </w:rPr>
  </w:style>
  <w:style w:type="paragraph" w:styleId="Cmsor7">
    <w:name w:val="heading 7"/>
    <w:basedOn w:val="Norml"/>
    <w:next w:val="Norml"/>
    <w:link w:val="Cmsor7Char"/>
    <w:uiPriority w:val="9"/>
    <w:semiHidden/>
    <w:unhideWhenUsed/>
    <w:qFormat/>
    <w:rsid w:val="000B6D2B"/>
    <w:pPr>
      <w:spacing w:after="0"/>
      <w:outlineLvl w:val="6"/>
    </w:pPr>
    <w:rPr>
      <w:rFonts w:asciiTheme="majorHAnsi" w:eastAsiaTheme="majorEastAsia" w:hAnsiTheme="majorHAnsi" w:cstheme="majorBidi"/>
      <w:i/>
      <w:iCs/>
    </w:rPr>
  </w:style>
  <w:style w:type="paragraph" w:styleId="Cmsor8">
    <w:name w:val="heading 8"/>
    <w:basedOn w:val="Norml"/>
    <w:next w:val="Norml"/>
    <w:link w:val="Cmsor8Char"/>
    <w:uiPriority w:val="9"/>
    <w:semiHidden/>
    <w:unhideWhenUsed/>
    <w:qFormat/>
    <w:rsid w:val="000B6D2B"/>
    <w:pPr>
      <w:spacing w:after="0"/>
      <w:outlineLvl w:val="7"/>
    </w:pPr>
    <w:rPr>
      <w:rFonts w:asciiTheme="majorHAnsi" w:eastAsiaTheme="majorEastAsia" w:hAnsiTheme="majorHAnsi" w:cstheme="majorBidi"/>
      <w:sz w:val="20"/>
      <w:szCs w:val="20"/>
    </w:rPr>
  </w:style>
  <w:style w:type="paragraph" w:styleId="Cmsor9">
    <w:name w:val="heading 9"/>
    <w:basedOn w:val="Norml"/>
    <w:next w:val="Norml"/>
    <w:link w:val="Cmsor9Char"/>
    <w:uiPriority w:val="9"/>
    <w:semiHidden/>
    <w:unhideWhenUsed/>
    <w:qFormat/>
    <w:rsid w:val="000B6D2B"/>
    <w:pPr>
      <w:spacing w:after="0"/>
      <w:outlineLvl w:val="8"/>
    </w:pPr>
    <w:rPr>
      <w:rFonts w:asciiTheme="majorHAnsi" w:eastAsiaTheme="majorEastAsia" w:hAnsiTheme="majorHAnsi" w:cstheme="majorBidi"/>
      <w:i/>
      <w:iCs/>
      <w:spacing w:val="5"/>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bjegyzetszveg">
    <w:name w:val="footnote text"/>
    <w:basedOn w:val="Norml"/>
    <w:link w:val="LbjegyzetszvegChar"/>
    <w:uiPriority w:val="99"/>
    <w:unhideWhenUsed/>
    <w:rsid w:val="005A1284"/>
    <w:pPr>
      <w:spacing w:after="0" w:line="240" w:lineRule="auto"/>
    </w:pPr>
    <w:rPr>
      <w:sz w:val="20"/>
      <w:szCs w:val="20"/>
    </w:rPr>
  </w:style>
  <w:style w:type="character" w:customStyle="1" w:styleId="LbjegyzetszvegChar">
    <w:name w:val="Lábjegyzetszöveg Char"/>
    <w:basedOn w:val="Bekezdsalapbettpusa"/>
    <w:link w:val="Lbjegyzetszveg"/>
    <w:uiPriority w:val="99"/>
    <w:rsid w:val="005A1284"/>
    <w:rPr>
      <w:sz w:val="20"/>
      <w:szCs w:val="20"/>
    </w:rPr>
  </w:style>
  <w:style w:type="character" w:styleId="Lbjegyzet-hivatkozs">
    <w:name w:val="footnote reference"/>
    <w:basedOn w:val="Bekezdsalapbettpusa"/>
    <w:uiPriority w:val="99"/>
    <w:unhideWhenUsed/>
    <w:rsid w:val="00873D0E"/>
    <w:rPr>
      <w:rFonts w:ascii="Times New Roman" w:hAnsi="Times New Roman" w:cs="Times New Roman"/>
      <w:vertAlign w:val="superscript"/>
      <w:lang w:val="hu-HU"/>
    </w:rPr>
  </w:style>
  <w:style w:type="paragraph" w:styleId="Listaszerbekezds">
    <w:name w:val="List Paragraph"/>
    <w:basedOn w:val="Norml"/>
    <w:uiPriority w:val="34"/>
    <w:qFormat/>
    <w:rsid w:val="000B6D2B"/>
    <w:pPr>
      <w:ind w:left="720"/>
      <w:contextualSpacing/>
    </w:pPr>
  </w:style>
  <w:style w:type="table" w:styleId="Rcsostblzat">
    <w:name w:val="Table Grid"/>
    <w:basedOn w:val="Normltblzat"/>
    <w:uiPriority w:val="59"/>
    <w:rsid w:val="00CF6C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uborkszveg">
    <w:name w:val="Balloon Text"/>
    <w:basedOn w:val="Norml"/>
    <w:link w:val="BuborkszvegChar"/>
    <w:uiPriority w:val="99"/>
    <w:semiHidden/>
    <w:unhideWhenUsed/>
    <w:rsid w:val="00284612"/>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84612"/>
    <w:rPr>
      <w:rFonts w:ascii="Tahoma" w:hAnsi="Tahoma" w:cs="Tahoma"/>
      <w:sz w:val="16"/>
      <w:szCs w:val="16"/>
    </w:rPr>
  </w:style>
  <w:style w:type="character" w:styleId="Hiperhivatkozs">
    <w:name w:val="Hyperlink"/>
    <w:basedOn w:val="Bekezdsalapbettpusa"/>
    <w:uiPriority w:val="99"/>
    <w:unhideWhenUsed/>
    <w:rsid w:val="00686D4C"/>
    <w:rPr>
      <w:color w:val="0000FF" w:themeColor="hyperlink"/>
      <w:u w:val="single"/>
    </w:rPr>
  </w:style>
  <w:style w:type="paragraph" w:styleId="lfej">
    <w:name w:val="header"/>
    <w:basedOn w:val="Norml"/>
    <w:link w:val="lfejChar"/>
    <w:uiPriority w:val="99"/>
    <w:semiHidden/>
    <w:unhideWhenUsed/>
    <w:rsid w:val="00B10902"/>
    <w:pPr>
      <w:tabs>
        <w:tab w:val="center" w:pos="4536"/>
        <w:tab w:val="right" w:pos="9072"/>
      </w:tabs>
      <w:spacing w:after="0" w:line="240" w:lineRule="auto"/>
    </w:pPr>
  </w:style>
  <w:style w:type="character" w:customStyle="1" w:styleId="lfejChar">
    <w:name w:val="Élőfej Char"/>
    <w:basedOn w:val="Bekezdsalapbettpusa"/>
    <w:link w:val="lfej"/>
    <w:uiPriority w:val="99"/>
    <w:semiHidden/>
    <w:rsid w:val="00B10902"/>
  </w:style>
  <w:style w:type="paragraph" w:styleId="llb">
    <w:name w:val="footer"/>
    <w:basedOn w:val="Norml"/>
    <w:link w:val="llbChar"/>
    <w:uiPriority w:val="99"/>
    <w:unhideWhenUsed/>
    <w:rsid w:val="00B10902"/>
    <w:pPr>
      <w:tabs>
        <w:tab w:val="center" w:pos="4536"/>
        <w:tab w:val="right" w:pos="9072"/>
      </w:tabs>
      <w:spacing w:after="0" w:line="240" w:lineRule="auto"/>
    </w:pPr>
  </w:style>
  <w:style w:type="character" w:customStyle="1" w:styleId="llbChar">
    <w:name w:val="Élőláb Char"/>
    <w:basedOn w:val="Bekezdsalapbettpusa"/>
    <w:link w:val="llb"/>
    <w:uiPriority w:val="99"/>
    <w:rsid w:val="00B10902"/>
  </w:style>
  <w:style w:type="character" w:customStyle="1" w:styleId="Cmsor2Char">
    <w:name w:val="Címsor 2 Char"/>
    <w:basedOn w:val="Bekezdsalapbettpusa"/>
    <w:link w:val="Cmsor2"/>
    <w:uiPriority w:val="9"/>
    <w:rsid w:val="000B6D2B"/>
    <w:rPr>
      <w:rFonts w:asciiTheme="majorHAnsi" w:eastAsiaTheme="majorEastAsia" w:hAnsiTheme="majorHAnsi" w:cstheme="majorBidi"/>
      <w:b/>
      <w:bCs/>
      <w:sz w:val="26"/>
      <w:szCs w:val="26"/>
    </w:rPr>
  </w:style>
  <w:style w:type="character" w:customStyle="1" w:styleId="Cmsor3Char">
    <w:name w:val="Címsor 3 Char"/>
    <w:basedOn w:val="Bekezdsalapbettpusa"/>
    <w:link w:val="Cmsor3"/>
    <w:uiPriority w:val="9"/>
    <w:rsid w:val="000B6D2B"/>
    <w:rPr>
      <w:rFonts w:asciiTheme="majorHAnsi" w:eastAsiaTheme="majorEastAsia" w:hAnsiTheme="majorHAnsi" w:cstheme="majorBidi"/>
      <w:b/>
      <w:bCs/>
    </w:rPr>
  </w:style>
  <w:style w:type="character" w:styleId="Kiemels2">
    <w:name w:val="Strong"/>
    <w:uiPriority w:val="22"/>
    <w:qFormat/>
    <w:rsid w:val="000B6D2B"/>
    <w:rPr>
      <w:b/>
      <w:bCs/>
    </w:rPr>
  </w:style>
  <w:style w:type="character" w:customStyle="1" w:styleId="Cmsor1Char">
    <w:name w:val="Címsor 1 Char"/>
    <w:basedOn w:val="Bekezdsalapbettpusa"/>
    <w:link w:val="Cmsor1"/>
    <w:uiPriority w:val="9"/>
    <w:rsid w:val="000B6D2B"/>
    <w:rPr>
      <w:rFonts w:asciiTheme="majorHAnsi" w:eastAsiaTheme="majorEastAsia" w:hAnsiTheme="majorHAnsi" w:cstheme="majorBidi"/>
      <w:b/>
      <w:bCs/>
      <w:sz w:val="28"/>
      <w:szCs w:val="28"/>
    </w:rPr>
  </w:style>
  <w:style w:type="character" w:customStyle="1" w:styleId="Cmsor4Char">
    <w:name w:val="Címsor 4 Char"/>
    <w:basedOn w:val="Bekezdsalapbettpusa"/>
    <w:link w:val="Cmsor4"/>
    <w:uiPriority w:val="9"/>
    <w:rsid w:val="000B6D2B"/>
    <w:rPr>
      <w:rFonts w:asciiTheme="majorHAnsi" w:eastAsiaTheme="majorEastAsia" w:hAnsiTheme="majorHAnsi" w:cstheme="majorBidi"/>
      <w:b/>
      <w:bCs/>
      <w:i/>
      <w:iCs/>
    </w:rPr>
  </w:style>
  <w:style w:type="character" w:customStyle="1" w:styleId="Cmsor5Char">
    <w:name w:val="Címsor 5 Char"/>
    <w:basedOn w:val="Bekezdsalapbettpusa"/>
    <w:link w:val="Cmsor5"/>
    <w:uiPriority w:val="9"/>
    <w:semiHidden/>
    <w:rsid w:val="000B6D2B"/>
    <w:rPr>
      <w:rFonts w:asciiTheme="majorHAnsi" w:eastAsiaTheme="majorEastAsia" w:hAnsiTheme="majorHAnsi" w:cstheme="majorBidi"/>
      <w:b/>
      <w:bCs/>
      <w:color w:val="7F7F7F" w:themeColor="text1" w:themeTint="80"/>
    </w:rPr>
  </w:style>
  <w:style w:type="character" w:customStyle="1" w:styleId="Cmsor6Char">
    <w:name w:val="Címsor 6 Char"/>
    <w:basedOn w:val="Bekezdsalapbettpusa"/>
    <w:link w:val="Cmsor6"/>
    <w:uiPriority w:val="9"/>
    <w:semiHidden/>
    <w:rsid w:val="000B6D2B"/>
    <w:rPr>
      <w:rFonts w:asciiTheme="majorHAnsi" w:eastAsiaTheme="majorEastAsia" w:hAnsiTheme="majorHAnsi" w:cstheme="majorBidi"/>
      <w:b/>
      <w:bCs/>
      <w:i/>
      <w:iCs/>
      <w:color w:val="7F7F7F" w:themeColor="text1" w:themeTint="80"/>
    </w:rPr>
  </w:style>
  <w:style w:type="character" w:customStyle="1" w:styleId="Cmsor7Char">
    <w:name w:val="Címsor 7 Char"/>
    <w:basedOn w:val="Bekezdsalapbettpusa"/>
    <w:link w:val="Cmsor7"/>
    <w:uiPriority w:val="9"/>
    <w:semiHidden/>
    <w:rsid w:val="000B6D2B"/>
    <w:rPr>
      <w:rFonts w:asciiTheme="majorHAnsi" w:eastAsiaTheme="majorEastAsia" w:hAnsiTheme="majorHAnsi" w:cstheme="majorBidi"/>
      <w:i/>
      <w:iCs/>
    </w:rPr>
  </w:style>
  <w:style w:type="character" w:customStyle="1" w:styleId="Cmsor8Char">
    <w:name w:val="Címsor 8 Char"/>
    <w:basedOn w:val="Bekezdsalapbettpusa"/>
    <w:link w:val="Cmsor8"/>
    <w:uiPriority w:val="9"/>
    <w:semiHidden/>
    <w:rsid w:val="000B6D2B"/>
    <w:rPr>
      <w:rFonts w:asciiTheme="majorHAnsi" w:eastAsiaTheme="majorEastAsia" w:hAnsiTheme="majorHAnsi" w:cstheme="majorBidi"/>
      <w:sz w:val="20"/>
      <w:szCs w:val="20"/>
    </w:rPr>
  </w:style>
  <w:style w:type="character" w:customStyle="1" w:styleId="Cmsor9Char">
    <w:name w:val="Címsor 9 Char"/>
    <w:basedOn w:val="Bekezdsalapbettpusa"/>
    <w:link w:val="Cmsor9"/>
    <w:uiPriority w:val="9"/>
    <w:semiHidden/>
    <w:rsid w:val="000B6D2B"/>
    <w:rPr>
      <w:rFonts w:asciiTheme="majorHAnsi" w:eastAsiaTheme="majorEastAsia" w:hAnsiTheme="majorHAnsi" w:cstheme="majorBidi"/>
      <w:i/>
      <w:iCs/>
      <w:spacing w:val="5"/>
      <w:sz w:val="20"/>
      <w:szCs w:val="20"/>
    </w:rPr>
  </w:style>
  <w:style w:type="paragraph" w:styleId="Cm">
    <w:name w:val="Title"/>
    <w:basedOn w:val="Norml"/>
    <w:next w:val="Norml"/>
    <w:link w:val="CmChar"/>
    <w:uiPriority w:val="10"/>
    <w:qFormat/>
    <w:rsid w:val="000B6D2B"/>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CmChar">
    <w:name w:val="Cím Char"/>
    <w:basedOn w:val="Bekezdsalapbettpusa"/>
    <w:link w:val="Cm"/>
    <w:uiPriority w:val="10"/>
    <w:rsid w:val="000B6D2B"/>
    <w:rPr>
      <w:rFonts w:asciiTheme="majorHAnsi" w:eastAsiaTheme="majorEastAsia" w:hAnsiTheme="majorHAnsi" w:cstheme="majorBidi"/>
      <w:spacing w:val="5"/>
      <w:sz w:val="52"/>
      <w:szCs w:val="52"/>
    </w:rPr>
  </w:style>
  <w:style w:type="paragraph" w:styleId="Alcm">
    <w:name w:val="Subtitle"/>
    <w:basedOn w:val="Norml"/>
    <w:next w:val="Norml"/>
    <w:link w:val="AlcmChar"/>
    <w:uiPriority w:val="11"/>
    <w:qFormat/>
    <w:rsid w:val="000B6D2B"/>
    <w:pPr>
      <w:spacing w:after="600"/>
    </w:pPr>
    <w:rPr>
      <w:rFonts w:asciiTheme="majorHAnsi" w:eastAsiaTheme="majorEastAsia" w:hAnsiTheme="majorHAnsi" w:cstheme="majorBidi"/>
      <w:i/>
      <w:iCs/>
      <w:spacing w:val="13"/>
      <w:sz w:val="24"/>
      <w:szCs w:val="24"/>
    </w:rPr>
  </w:style>
  <w:style w:type="character" w:customStyle="1" w:styleId="AlcmChar">
    <w:name w:val="Alcím Char"/>
    <w:basedOn w:val="Bekezdsalapbettpusa"/>
    <w:link w:val="Alcm"/>
    <w:uiPriority w:val="11"/>
    <w:rsid w:val="000B6D2B"/>
    <w:rPr>
      <w:rFonts w:asciiTheme="majorHAnsi" w:eastAsiaTheme="majorEastAsia" w:hAnsiTheme="majorHAnsi" w:cstheme="majorBidi"/>
      <w:i/>
      <w:iCs/>
      <w:spacing w:val="13"/>
      <w:sz w:val="24"/>
      <w:szCs w:val="24"/>
    </w:rPr>
  </w:style>
  <w:style w:type="character" w:styleId="Kiemels">
    <w:name w:val="Emphasis"/>
    <w:uiPriority w:val="20"/>
    <w:qFormat/>
    <w:rsid w:val="000B6D2B"/>
    <w:rPr>
      <w:b/>
      <w:bCs/>
      <w:i/>
      <w:iCs/>
      <w:spacing w:val="10"/>
      <w:bdr w:val="none" w:sz="0" w:space="0" w:color="auto"/>
      <w:shd w:val="clear" w:color="auto" w:fill="auto"/>
    </w:rPr>
  </w:style>
  <w:style w:type="paragraph" w:styleId="Nincstrkz">
    <w:name w:val="No Spacing"/>
    <w:basedOn w:val="Norml"/>
    <w:link w:val="NincstrkzChar"/>
    <w:uiPriority w:val="1"/>
    <w:qFormat/>
    <w:rsid w:val="000B6D2B"/>
    <w:pPr>
      <w:spacing w:after="0" w:line="240" w:lineRule="auto"/>
    </w:pPr>
  </w:style>
  <w:style w:type="paragraph" w:styleId="Idzet">
    <w:name w:val="Quote"/>
    <w:basedOn w:val="Norml"/>
    <w:next w:val="Norml"/>
    <w:link w:val="IdzetChar"/>
    <w:uiPriority w:val="29"/>
    <w:qFormat/>
    <w:rsid w:val="000B6D2B"/>
    <w:pPr>
      <w:spacing w:before="200" w:after="0"/>
      <w:ind w:left="360" w:right="360"/>
    </w:pPr>
    <w:rPr>
      <w:i/>
      <w:iCs/>
    </w:rPr>
  </w:style>
  <w:style w:type="character" w:customStyle="1" w:styleId="IdzetChar">
    <w:name w:val="Idézet Char"/>
    <w:basedOn w:val="Bekezdsalapbettpusa"/>
    <w:link w:val="Idzet"/>
    <w:uiPriority w:val="29"/>
    <w:rsid w:val="000B6D2B"/>
    <w:rPr>
      <w:i/>
      <w:iCs/>
    </w:rPr>
  </w:style>
  <w:style w:type="paragraph" w:styleId="Kiemeltidzet">
    <w:name w:val="Intense Quote"/>
    <w:basedOn w:val="Norml"/>
    <w:next w:val="Norml"/>
    <w:link w:val="KiemeltidzetChar"/>
    <w:uiPriority w:val="30"/>
    <w:qFormat/>
    <w:rsid w:val="000B6D2B"/>
    <w:pPr>
      <w:pBdr>
        <w:bottom w:val="single" w:sz="4" w:space="1" w:color="auto"/>
      </w:pBdr>
      <w:spacing w:before="200" w:after="280"/>
      <w:ind w:left="1008" w:right="1152"/>
      <w:jc w:val="both"/>
    </w:pPr>
    <w:rPr>
      <w:b/>
      <w:bCs/>
      <w:i/>
      <w:iCs/>
    </w:rPr>
  </w:style>
  <w:style w:type="character" w:customStyle="1" w:styleId="KiemeltidzetChar">
    <w:name w:val="Kiemelt idézet Char"/>
    <w:basedOn w:val="Bekezdsalapbettpusa"/>
    <w:link w:val="Kiemeltidzet"/>
    <w:uiPriority w:val="30"/>
    <w:rsid w:val="000B6D2B"/>
    <w:rPr>
      <w:b/>
      <w:bCs/>
      <w:i/>
      <w:iCs/>
    </w:rPr>
  </w:style>
  <w:style w:type="character" w:styleId="Finomkiemels">
    <w:name w:val="Subtle Emphasis"/>
    <w:uiPriority w:val="19"/>
    <w:qFormat/>
    <w:rsid w:val="000B6D2B"/>
    <w:rPr>
      <w:i/>
      <w:iCs/>
    </w:rPr>
  </w:style>
  <w:style w:type="character" w:styleId="Ershangslyozs">
    <w:name w:val="Intense Emphasis"/>
    <w:uiPriority w:val="21"/>
    <w:qFormat/>
    <w:rsid w:val="000B6D2B"/>
    <w:rPr>
      <w:b/>
      <w:bCs/>
    </w:rPr>
  </w:style>
  <w:style w:type="character" w:styleId="Finomhivatkozs">
    <w:name w:val="Subtle Reference"/>
    <w:uiPriority w:val="31"/>
    <w:qFormat/>
    <w:rsid w:val="000B6D2B"/>
    <w:rPr>
      <w:smallCaps/>
    </w:rPr>
  </w:style>
  <w:style w:type="character" w:styleId="Ershivatkozs">
    <w:name w:val="Intense Reference"/>
    <w:uiPriority w:val="32"/>
    <w:qFormat/>
    <w:rsid w:val="000B6D2B"/>
    <w:rPr>
      <w:smallCaps/>
      <w:spacing w:val="5"/>
      <w:u w:val="single"/>
    </w:rPr>
  </w:style>
  <w:style w:type="character" w:styleId="Knyvcme">
    <w:name w:val="Book Title"/>
    <w:uiPriority w:val="33"/>
    <w:qFormat/>
    <w:rsid w:val="000B6D2B"/>
    <w:rPr>
      <w:i/>
      <w:iCs/>
      <w:smallCaps/>
      <w:spacing w:val="5"/>
    </w:rPr>
  </w:style>
  <w:style w:type="paragraph" w:styleId="Tartalomjegyzkcmsora">
    <w:name w:val="TOC Heading"/>
    <w:basedOn w:val="Cmsor1"/>
    <w:next w:val="Norml"/>
    <w:uiPriority w:val="39"/>
    <w:semiHidden/>
    <w:unhideWhenUsed/>
    <w:qFormat/>
    <w:rsid w:val="000B6D2B"/>
    <w:pPr>
      <w:outlineLvl w:val="9"/>
    </w:pPr>
  </w:style>
  <w:style w:type="character" w:customStyle="1" w:styleId="NincstrkzChar">
    <w:name w:val="Nincs térköz Char"/>
    <w:basedOn w:val="Bekezdsalapbettpusa"/>
    <w:link w:val="Nincstrkz"/>
    <w:uiPriority w:val="1"/>
    <w:rsid w:val="0069191A"/>
  </w:style>
  <w:style w:type="paragraph" w:styleId="TJ1">
    <w:name w:val="toc 1"/>
    <w:basedOn w:val="Norml"/>
    <w:next w:val="Norml"/>
    <w:autoRedefine/>
    <w:uiPriority w:val="39"/>
    <w:unhideWhenUsed/>
    <w:rsid w:val="0069191A"/>
    <w:pPr>
      <w:spacing w:after="100"/>
    </w:pPr>
  </w:style>
  <w:style w:type="paragraph" w:styleId="TJ2">
    <w:name w:val="toc 2"/>
    <w:basedOn w:val="Norml"/>
    <w:next w:val="Norml"/>
    <w:autoRedefine/>
    <w:uiPriority w:val="39"/>
    <w:unhideWhenUsed/>
    <w:rsid w:val="00413518"/>
    <w:pPr>
      <w:tabs>
        <w:tab w:val="left" w:pos="1418"/>
        <w:tab w:val="right" w:leader="dot" w:pos="9062"/>
      </w:tabs>
      <w:spacing w:after="100"/>
      <w:ind w:left="284"/>
    </w:pPr>
  </w:style>
  <w:style w:type="paragraph" w:styleId="TJ3">
    <w:name w:val="toc 3"/>
    <w:basedOn w:val="Norml"/>
    <w:next w:val="Norml"/>
    <w:autoRedefine/>
    <w:uiPriority w:val="39"/>
    <w:unhideWhenUsed/>
    <w:rsid w:val="00933263"/>
    <w:pPr>
      <w:tabs>
        <w:tab w:val="right" w:leader="dot" w:pos="9062"/>
      </w:tabs>
      <w:spacing w:after="100"/>
      <w:ind w:left="851"/>
    </w:pPr>
  </w:style>
  <w:style w:type="character" w:styleId="Mrltotthiperhivatkozs">
    <w:name w:val="FollowedHyperlink"/>
    <w:basedOn w:val="Bekezdsalapbettpusa"/>
    <w:uiPriority w:val="99"/>
    <w:semiHidden/>
    <w:unhideWhenUsed/>
    <w:rsid w:val="009C366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paragraph" w:styleId="Cmsor1">
    <w:name w:val="heading 1"/>
    <w:basedOn w:val="Norml"/>
    <w:next w:val="Norml"/>
    <w:link w:val="Cmsor1Char"/>
    <w:uiPriority w:val="9"/>
    <w:qFormat/>
    <w:rsid w:val="000B6D2B"/>
    <w:pPr>
      <w:spacing w:before="480" w:after="0"/>
      <w:contextualSpacing/>
      <w:outlineLvl w:val="0"/>
    </w:pPr>
    <w:rPr>
      <w:rFonts w:asciiTheme="majorHAnsi" w:eastAsiaTheme="majorEastAsia" w:hAnsiTheme="majorHAnsi" w:cstheme="majorBidi"/>
      <w:b/>
      <w:bCs/>
      <w:sz w:val="28"/>
      <w:szCs w:val="28"/>
    </w:rPr>
  </w:style>
  <w:style w:type="paragraph" w:styleId="Cmsor2">
    <w:name w:val="heading 2"/>
    <w:basedOn w:val="Norml"/>
    <w:next w:val="Norml"/>
    <w:link w:val="Cmsor2Char"/>
    <w:uiPriority w:val="9"/>
    <w:unhideWhenUsed/>
    <w:qFormat/>
    <w:rsid w:val="000B6D2B"/>
    <w:pPr>
      <w:spacing w:before="200" w:after="0"/>
      <w:outlineLvl w:val="1"/>
    </w:pPr>
    <w:rPr>
      <w:rFonts w:asciiTheme="majorHAnsi" w:eastAsiaTheme="majorEastAsia" w:hAnsiTheme="majorHAnsi" w:cstheme="majorBidi"/>
      <w:b/>
      <w:bCs/>
      <w:sz w:val="26"/>
      <w:szCs w:val="26"/>
    </w:rPr>
  </w:style>
  <w:style w:type="paragraph" w:styleId="Cmsor3">
    <w:name w:val="heading 3"/>
    <w:basedOn w:val="Norml"/>
    <w:next w:val="Norml"/>
    <w:link w:val="Cmsor3Char"/>
    <w:uiPriority w:val="9"/>
    <w:unhideWhenUsed/>
    <w:qFormat/>
    <w:rsid w:val="000B6D2B"/>
    <w:pPr>
      <w:spacing w:before="200" w:after="0" w:line="271" w:lineRule="auto"/>
      <w:outlineLvl w:val="2"/>
    </w:pPr>
    <w:rPr>
      <w:rFonts w:asciiTheme="majorHAnsi" w:eastAsiaTheme="majorEastAsia" w:hAnsiTheme="majorHAnsi" w:cstheme="majorBidi"/>
      <w:b/>
      <w:bCs/>
    </w:rPr>
  </w:style>
  <w:style w:type="paragraph" w:styleId="Cmsor4">
    <w:name w:val="heading 4"/>
    <w:basedOn w:val="Norml"/>
    <w:next w:val="Norml"/>
    <w:link w:val="Cmsor4Char"/>
    <w:uiPriority w:val="9"/>
    <w:unhideWhenUsed/>
    <w:qFormat/>
    <w:rsid w:val="000B6D2B"/>
    <w:pPr>
      <w:spacing w:before="200" w:after="0"/>
      <w:outlineLvl w:val="3"/>
    </w:pPr>
    <w:rPr>
      <w:rFonts w:asciiTheme="majorHAnsi" w:eastAsiaTheme="majorEastAsia" w:hAnsiTheme="majorHAnsi" w:cstheme="majorBidi"/>
      <w:b/>
      <w:bCs/>
      <w:i/>
      <w:iCs/>
    </w:rPr>
  </w:style>
  <w:style w:type="paragraph" w:styleId="Cmsor5">
    <w:name w:val="heading 5"/>
    <w:basedOn w:val="Norml"/>
    <w:next w:val="Norml"/>
    <w:link w:val="Cmsor5Char"/>
    <w:uiPriority w:val="9"/>
    <w:semiHidden/>
    <w:unhideWhenUsed/>
    <w:qFormat/>
    <w:rsid w:val="000B6D2B"/>
    <w:pPr>
      <w:spacing w:before="200" w:after="0"/>
      <w:outlineLvl w:val="4"/>
    </w:pPr>
    <w:rPr>
      <w:rFonts w:asciiTheme="majorHAnsi" w:eastAsiaTheme="majorEastAsia" w:hAnsiTheme="majorHAnsi" w:cstheme="majorBidi"/>
      <w:b/>
      <w:bCs/>
      <w:color w:val="7F7F7F" w:themeColor="text1" w:themeTint="80"/>
    </w:rPr>
  </w:style>
  <w:style w:type="paragraph" w:styleId="Cmsor6">
    <w:name w:val="heading 6"/>
    <w:basedOn w:val="Norml"/>
    <w:next w:val="Norml"/>
    <w:link w:val="Cmsor6Char"/>
    <w:uiPriority w:val="9"/>
    <w:semiHidden/>
    <w:unhideWhenUsed/>
    <w:qFormat/>
    <w:rsid w:val="000B6D2B"/>
    <w:pPr>
      <w:spacing w:after="0" w:line="271" w:lineRule="auto"/>
      <w:outlineLvl w:val="5"/>
    </w:pPr>
    <w:rPr>
      <w:rFonts w:asciiTheme="majorHAnsi" w:eastAsiaTheme="majorEastAsia" w:hAnsiTheme="majorHAnsi" w:cstheme="majorBidi"/>
      <w:b/>
      <w:bCs/>
      <w:i/>
      <w:iCs/>
      <w:color w:val="7F7F7F" w:themeColor="text1" w:themeTint="80"/>
    </w:rPr>
  </w:style>
  <w:style w:type="paragraph" w:styleId="Cmsor7">
    <w:name w:val="heading 7"/>
    <w:basedOn w:val="Norml"/>
    <w:next w:val="Norml"/>
    <w:link w:val="Cmsor7Char"/>
    <w:uiPriority w:val="9"/>
    <w:semiHidden/>
    <w:unhideWhenUsed/>
    <w:qFormat/>
    <w:rsid w:val="000B6D2B"/>
    <w:pPr>
      <w:spacing w:after="0"/>
      <w:outlineLvl w:val="6"/>
    </w:pPr>
    <w:rPr>
      <w:rFonts w:asciiTheme="majorHAnsi" w:eastAsiaTheme="majorEastAsia" w:hAnsiTheme="majorHAnsi" w:cstheme="majorBidi"/>
      <w:i/>
      <w:iCs/>
    </w:rPr>
  </w:style>
  <w:style w:type="paragraph" w:styleId="Cmsor8">
    <w:name w:val="heading 8"/>
    <w:basedOn w:val="Norml"/>
    <w:next w:val="Norml"/>
    <w:link w:val="Cmsor8Char"/>
    <w:uiPriority w:val="9"/>
    <w:semiHidden/>
    <w:unhideWhenUsed/>
    <w:qFormat/>
    <w:rsid w:val="000B6D2B"/>
    <w:pPr>
      <w:spacing w:after="0"/>
      <w:outlineLvl w:val="7"/>
    </w:pPr>
    <w:rPr>
      <w:rFonts w:asciiTheme="majorHAnsi" w:eastAsiaTheme="majorEastAsia" w:hAnsiTheme="majorHAnsi" w:cstheme="majorBidi"/>
      <w:sz w:val="20"/>
      <w:szCs w:val="20"/>
    </w:rPr>
  </w:style>
  <w:style w:type="paragraph" w:styleId="Cmsor9">
    <w:name w:val="heading 9"/>
    <w:basedOn w:val="Norml"/>
    <w:next w:val="Norml"/>
    <w:link w:val="Cmsor9Char"/>
    <w:uiPriority w:val="9"/>
    <w:semiHidden/>
    <w:unhideWhenUsed/>
    <w:qFormat/>
    <w:rsid w:val="000B6D2B"/>
    <w:pPr>
      <w:spacing w:after="0"/>
      <w:outlineLvl w:val="8"/>
    </w:pPr>
    <w:rPr>
      <w:rFonts w:asciiTheme="majorHAnsi" w:eastAsiaTheme="majorEastAsia" w:hAnsiTheme="majorHAnsi" w:cstheme="majorBidi"/>
      <w:i/>
      <w:iCs/>
      <w:spacing w:val="5"/>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bjegyzetszveg">
    <w:name w:val="footnote text"/>
    <w:basedOn w:val="Norml"/>
    <w:link w:val="LbjegyzetszvegChar"/>
    <w:uiPriority w:val="99"/>
    <w:unhideWhenUsed/>
    <w:rsid w:val="005A1284"/>
    <w:pPr>
      <w:spacing w:after="0" w:line="240" w:lineRule="auto"/>
    </w:pPr>
    <w:rPr>
      <w:sz w:val="20"/>
      <w:szCs w:val="20"/>
    </w:rPr>
  </w:style>
  <w:style w:type="character" w:customStyle="1" w:styleId="LbjegyzetszvegChar">
    <w:name w:val="Lábjegyzetszöveg Char"/>
    <w:basedOn w:val="Bekezdsalapbettpusa"/>
    <w:link w:val="Lbjegyzetszveg"/>
    <w:uiPriority w:val="99"/>
    <w:rsid w:val="005A1284"/>
    <w:rPr>
      <w:sz w:val="20"/>
      <w:szCs w:val="20"/>
    </w:rPr>
  </w:style>
  <w:style w:type="character" w:styleId="Lbjegyzet-hivatkozs">
    <w:name w:val="footnote reference"/>
    <w:basedOn w:val="Bekezdsalapbettpusa"/>
    <w:uiPriority w:val="99"/>
    <w:unhideWhenUsed/>
    <w:rsid w:val="00873D0E"/>
    <w:rPr>
      <w:rFonts w:ascii="Times New Roman" w:hAnsi="Times New Roman" w:cs="Times New Roman"/>
      <w:vertAlign w:val="superscript"/>
      <w:lang w:val="hu-HU"/>
    </w:rPr>
  </w:style>
  <w:style w:type="paragraph" w:styleId="Listaszerbekezds">
    <w:name w:val="List Paragraph"/>
    <w:basedOn w:val="Norml"/>
    <w:uiPriority w:val="34"/>
    <w:qFormat/>
    <w:rsid w:val="000B6D2B"/>
    <w:pPr>
      <w:ind w:left="720"/>
      <w:contextualSpacing/>
    </w:pPr>
  </w:style>
  <w:style w:type="table" w:styleId="Rcsostblzat">
    <w:name w:val="Table Grid"/>
    <w:basedOn w:val="Normltblzat"/>
    <w:uiPriority w:val="59"/>
    <w:rsid w:val="00CF6C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uborkszveg">
    <w:name w:val="Balloon Text"/>
    <w:basedOn w:val="Norml"/>
    <w:link w:val="BuborkszvegChar"/>
    <w:uiPriority w:val="99"/>
    <w:semiHidden/>
    <w:unhideWhenUsed/>
    <w:rsid w:val="00284612"/>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84612"/>
    <w:rPr>
      <w:rFonts w:ascii="Tahoma" w:hAnsi="Tahoma" w:cs="Tahoma"/>
      <w:sz w:val="16"/>
      <w:szCs w:val="16"/>
    </w:rPr>
  </w:style>
  <w:style w:type="character" w:styleId="Hiperhivatkozs">
    <w:name w:val="Hyperlink"/>
    <w:basedOn w:val="Bekezdsalapbettpusa"/>
    <w:uiPriority w:val="99"/>
    <w:unhideWhenUsed/>
    <w:rsid w:val="00686D4C"/>
    <w:rPr>
      <w:color w:val="0000FF" w:themeColor="hyperlink"/>
      <w:u w:val="single"/>
    </w:rPr>
  </w:style>
  <w:style w:type="paragraph" w:styleId="lfej">
    <w:name w:val="header"/>
    <w:basedOn w:val="Norml"/>
    <w:link w:val="lfejChar"/>
    <w:uiPriority w:val="99"/>
    <w:semiHidden/>
    <w:unhideWhenUsed/>
    <w:rsid w:val="00B10902"/>
    <w:pPr>
      <w:tabs>
        <w:tab w:val="center" w:pos="4536"/>
        <w:tab w:val="right" w:pos="9072"/>
      </w:tabs>
      <w:spacing w:after="0" w:line="240" w:lineRule="auto"/>
    </w:pPr>
  </w:style>
  <w:style w:type="character" w:customStyle="1" w:styleId="lfejChar">
    <w:name w:val="Élőfej Char"/>
    <w:basedOn w:val="Bekezdsalapbettpusa"/>
    <w:link w:val="lfej"/>
    <w:uiPriority w:val="99"/>
    <w:semiHidden/>
    <w:rsid w:val="00B10902"/>
  </w:style>
  <w:style w:type="paragraph" w:styleId="llb">
    <w:name w:val="footer"/>
    <w:basedOn w:val="Norml"/>
    <w:link w:val="llbChar"/>
    <w:uiPriority w:val="99"/>
    <w:unhideWhenUsed/>
    <w:rsid w:val="00B10902"/>
    <w:pPr>
      <w:tabs>
        <w:tab w:val="center" w:pos="4536"/>
        <w:tab w:val="right" w:pos="9072"/>
      </w:tabs>
      <w:spacing w:after="0" w:line="240" w:lineRule="auto"/>
    </w:pPr>
  </w:style>
  <w:style w:type="character" w:customStyle="1" w:styleId="llbChar">
    <w:name w:val="Élőláb Char"/>
    <w:basedOn w:val="Bekezdsalapbettpusa"/>
    <w:link w:val="llb"/>
    <w:uiPriority w:val="99"/>
    <w:rsid w:val="00B10902"/>
  </w:style>
  <w:style w:type="character" w:customStyle="1" w:styleId="Cmsor2Char">
    <w:name w:val="Címsor 2 Char"/>
    <w:basedOn w:val="Bekezdsalapbettpusa"/>
    <w:link w:val="Cmsor2"/>
    <w:uiPriority w:val="9"/>
    <w:rsid w:val="000B6D2B"/>
    <w:rPr>
      <w:rFonts w:asciiTheme="majorHAnsi" w:eastAsiaTheme="majorEastAsia" w:hAnsiTheme="majorHAnsi" w:cstheme="majorBidi"/>
      <w:b/>
      <w:bCs/>
      <w:sz w:val="26"/>
      <w:szCs w:val="26"/>
    </w:rPr>
  </w:style>
  <w:style w:type="character" w:customStyle="1" w:styleId="Cmsor3Char">
    <w:name w:val="Címsor 3 Char"/>
    <w:basedOn w:val="Bekezdsalapbettpusa"/>
    <w:link w:val="Cmsor3"/>
    <w:uiPriority w:val="9"/>
    <w:rsid w:val="000B6D2B"/>
    <w:rPr>
      <w:rFonts w:asciiTheme="majorHAnsi" w:eastAsiaTheme="majorEastAsia" w:hAnsiTheme="majorHAnsi" w:cstheme="majorBidi"/>
      <w:b/>
      <w:bCs/>
    </w:rPr>
  </w:style>
  <w:style w:type="character" w:styleId="Kiemels2">
    <w:name w:val="Strong"/>
    <w:uiPriority w:val="22"/>
    <w:qFormat/>
    <w:rsid w:val="000B6D2B"/>
    <w:rPr>
      <w:b/>
      <w:bCs/>
    </w:rPr>
  </w:style>
  <w:style w:type="character" w:customStyle="1" w:styleId="Cmsor1Char">
    <w:name w:val="Címsor 1 Char"/>
    <w:basedOn w:val="Bekezdsalapbettpusa"/>
    <w:link w:val="Cmsor1"/>
    <w:uiPriority w:val="9"/>
    <w:rsid w:val="000B6D2B"/>
    <w:rPr>
      <w:rFonts w:asciiTheme="majorHAnsi" w:eastAsiaTheme="majorEastAsia" w:hAnsiTheme="majorHAnsi" w:cstheme="majorBidi"/>
      <w:b/>
      <w:bCs/>
      <w:sz w:val="28"/>
      <w:szCs w:val="28"/>
    </w:rPr>
  </w:style>
  <w:style w:type="character" w:customStyle="1" w:styleId="Cmsor4Char">
    <w:name w:val="Címsor 4 Char"/>
    <w:basedOn w:val="Bekezdsalapbettpusa"/>
    <w:link w:val="Cmsor4"/>
    <w:uiPriority w:val="9"/>
    <w:rsid w:val="000B6D2B"/>
    <w:rPr>
      <w:rFonts w:asciiTheme="majorHAnsi" w:eastAsiaTheme="majorEastAsia" w:hAnsiTheme="majorHAnsi" w:cstheme="majorBidi"/>
      <w:b/>
      <w:bCs/>
      <w:i/>
      <w:iCs/>
    </w:rPr>
  </w:style>
  <w:style w:type="character" w:customStyle="1" w:styleId="Cmsor5Char">
    <w:name w:val="Címsor 5 Char"/>
    <w:basedOn w:val="Bekezdsalapbettpusa"/>
    <w:link w:val="Cmsor5"/>
    <w:uiPriority w:val="9"/>
    <w:semiHidden/>
    <w:rsid w:val="000B6D2B"/>
    <w:rPr>
      <w:rFonts w:asciiTheme="majorHAnsi" w:eastAsiaTheme="majorEastAsia" w:hAnsiTheme="majorHAnsi" w:cstheme="majorBidi"/>
      <w:b/>
      <w:bCs/>
      <w:color w:val="7F7F7F" w:themeColor="text1" w:themeTint="80"/>
    </w:rPr>
  </w:style>
  <w:style w:type="character" w:customStyle="1" w:styleId="Cmsor6Char">
    <w:name w:val="Címsor 6 Char"/>
    <w:basedOn w:val="Bekezdsalapbettpusa"/>
    <w:link w:val="Cmsor6"/>
    <w:uiPriority w:val="9"/>
    <w:semiHidden/>
    <w:rsid w:val="000B6D2B"/>
    <w:rPr>
      <w:rFonts w:asciiTheme="majorHAnsi" w:eastAsiaTheme="majorEastAsia" w:hAnsiTheme="majorHAnsi" w:cstheme="majorBidi"/>
      <w:b/>
      <w:bCs/>
      <w:i/>
      <w:iCs/>
      <w:color w:val="7F7F7F" w:themeColor="text1" w:themeTint="80"/>
    </w:rPr>
  </w:style>
  <w:style w:type="character" w:customStyle="1" w:styleId="Cmsor7Char">
    <w:name w:val="Címsor 7 Char"/>
    <w:basedOn w:val="Bekezdsalapbettpusa"/>
    <w:link w:val="Cmsor7"/>
    <w:uiPriority w:val="9"/>
    <w:semiHidden/>
    <w:rsid w:val="000B6D2B"/>
    <w:rPr>
      <w:rFonts w:asciiTheme="majorHAnsi" w:eastAsiaTheme="majorEastAsia" w:hAnsiTheme="majorHAnsi" w:cstheme="majorBidi"/>
      <w:i/>
      <w:iCs/>
    </w:rPr>
  </w:style>
  <w:style w:type="character" w:customStyle="1" w:styleId="Cmsor8Char">
    <w:name w:val="Címsor 8 Char"/>
    <w:basedOn w:val="Bekezdsalapbettpusa"/>
    <w:link w:val="Cmsor8"/>
    <w:uiPriority w:val="9"/>
    <w:semiHidden/>
    <w:rsid w:val="000B6D2B"/>
    <w:rPr>
      <w:rFonts w:asciiTheme="majorHAnsi" w:eastAsiaTheme="majorEastAsia" w:hAnsiTheme="majorHAnsi" w:cstheme="majorBidi"/>
      <w:sz w:val="20"/>
      <w:szCs w:val="20"/>
    </w:rPr>
  </w:style>
  <w:style w:type="character" w:customStyle="1" w:styleId="Cmsor9Char">
    <w:name w:val="Címsor 9 Char"/>
    <w:basedOn w:val="Bekezdsalapbettpusa"/>
    <w:link w:val="Cmsor9"/>
    <w:uiPriority w:val="9"/>
    <w:semiHidden/>
    <w:rsid w:val="000B6D2B"/>
    <w:rPr>
      <w:rFonts w:asciiTheme="majorHAnsi" w:eastAsiaTheme="majorEastAsia" w:hAnsiTheme="majorHAnsi" w:cstheme="majorBidi"/>
      <w:i/>
      <w:iCs/>
      <w:spacing w:val="5"/>
      <w:sz w:val="20"/>
      <w:szCs w:val="20"/>
    </w:rPr>
  </w:style>
  <w:style w:type="paragraph" w:styleId="Cm">
    <w:name w:val="Title"/>
    <w:basedOn w:val="Norml"/>
    <w:next w:val="Norml"/>
    <w:link w:val="CmChar"/>
    <w:uiPriority w:val="10"/>
    <w:qFormat/>
    <w:rsid w:val="000B6D2B"/>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CmChar">
    <w:name w:val="Cím Char"/>
    <w:basedOn w:val="Bekezdsalapbettpusa"/>
    <w:link w:val="Cm"/>
    <w:uiPriority w:val="10"/>
    <w:rsid w:val="000B6D2B"/>
    <w:rPr>
      <w:rFonts w:asciiTheme="majorHAnsi" w:eastAsiaTheme="majorEastAsia" w:hAnsiTheme="majorHAnsi" w:cstheme="majorBidi"/>
      <w:spacing w:val="5"/>
      <w:sz w:val="52"/>
      <w:szCs w:val="52"/>
    </w:rPr>
  </w:style>
  <w:style w:type="paragraph" w:styleId="Alcm">
    <w:name w:val="Subtitle"/>
    <w:basedOn w:val="Norml"/>
    <w:next w:val="Norml"/>
    <w:link w:val="AlcmChar"/>
    <w:uiPriority w:val="11"/>
    <w:qFormat/>
    <w:rsid w:val="000B6D2B"/>
    <w:pPr>
      <w:spacing w:after="600"/>
    </w:pPr>
    <w:rPr>
      <w:rFonts w:asciiTheme="majorHAnsi" w:eastAsiaTheme="majorEastAsia" w:hAnsiTheme="majorHAnsi" w:cstheme="majorBidi"/>
      <w:i/>
      <w:iCs/>
      <w:spacing w:val="13"/>
      <w:sz w:val="24"/>
      <w:szCs w:val="24"/>
    </w:rPr>
  </w:style>
  <w:style w:type="character" w:customStyle="1" w:styleId="AlcmChar">
    <w:name w:val="Alcím Char"/>
    <w:basedOn w:val="Bekezdsalapbettpusa"/>
    <w:link w:val="Alcm"/>
    <w:uiPriority w:val="11"/>
    <w:rsid w:val="000B6D2B"/>
    <w:rPr>
      <w:rFonts w:asciiTheme="majorHAnsi" w:eastAsiaTheme="majorEastAsia" w:hAnsiTheme="majorHAnsi" w:cstheme="majorBidi"/>
      <w:i/>
      <w:iCs/>
      <w:spacing w:val="13"/>
      <w:sz w:val="24"/>
      <w:szCs w:val="24"/>
    </w:rPr>
  </w:style>
  <w:style w:type="character" w:styleId="Kiemels">
    <w:name w:val="Emphasis"/>
    <w:uiPriority w:val="20"/>
    <w:qFormat/>
    <w:rsid w:val="000B6D2B"/>
    <w:rPr>
      <w:b/>
      <w:bCs/>
      <w:i/>
      <w:iCs/>
      <w:spacing w:val="10"/>
      <w:bdr w:val="none" w:sz="0" w:space="0" w:color="auto"/>
      <w:shd w:val="clear" w:color="auto" w:fill="auto"/>
    </w:rPr>
  </w:style>
  <w:style w:type="paragraph" w:styleId="Nincstrkz">
    <w:name w:val="No Spacing"/>
    <w:basedOn w:val="Norml"/>
    <w:link w:val="NincstrkzChar"/>
    <w:uiPriority w:val="1"/>
    <w:qFormat/>
    <w:rsid w:val="000B6D2B"/>
    <w:pPr>
      <w:spacing w:after="0" w:line="240" w:lineRule="auto"/>
    </w:pPr>
  </w:style>
  <w:style w:type="paragraph" w:styleId="Idzet">
    <w:name w:val="Quote"/>
    <w:basedOn w:val="Norml"/>
    <w:next w:val="Norml"/>
    <w:link w:val="IdzetChar"/>
    <w:uiPriority w:val="29"/>
    <w:qFormat/>
    <w:rsid w:val="000B6D2B"/>
    <w:pPr>
      <w:spacing w:before="200" w:after="0"/>
      <w:ind w:left="360" w:right="360"/>
    </w:pPr>
    <w:rPr>
      <w:i/>
      <w:iCs/>
    </w:rPr>
  </w:style>
  <w:style w:type="character" w:customStyle="1" w:styleId="IdzetChar">
    <w:name w:val="Idézet Char"/>
    <w:basedOn w:val="Bekezdsalapbettpusa"/>
    <w:link w:val="Idzet"/>
    <w:uiPriority w:val="29"/>
    <w:rsid w:val="000B6D2B"/>
    <w:rPr>
      <w:i/>
      <w:iCs/>
    </w:rPr>
  </w:style>
  <w:style w:type="paragraph" w:styleId="Kiemeltidzet">
    <w:name w:val="Intense Quote"/>
    <w:basedOn w:val="Norml"/>
    <w:next w:val="Norml"/>
    <w:link w:val="KiemeltidzetChar"/>
    <w:uiPriority w:val="30"/>
    <w:qFormat/>
    <w:rsid w:val="000B6D2B"/>
    <w:pPr>
      <w:pBdr>
        <w:bottom w:val="single" w:sz="4" w:space="1" w:color="auto"/>
      </w:pBdr>
      <w:spacing w:before="200" w:after="280"/>
      <w:ind w:left="1008" w:right="1152"/>
      <w:jc w:val="both"/>
    </w:pPr>
    <w:rPr>
      <w:b/>
      <w:bCs/>
      <w:i/>
      <w:iCs/>
    </w:rPr>
  </w:style>
  <w:style w:type="character" w:customStyle="1" w:styleId="KiemeltidzetChar">
    <w:name w:val="Kiemelt idézet Char"/>
    <w:basedOn w:val="Bekezdsalapbettpusa"/>
    <w:link w:val="Kiemeltidzet"/>
    <w:uiPriority w:val="30"/>
    <w:rsid w:val="000B6D2B"/>
    <w:rPr>
      <w:b/>
      <w:bCs/>
      <w:i/>
      <w:iCs/>
    </w:rPr>
  </w:style>
  <w:style w:type="character" w:styleId="Finomkiemels">
    <w:name w:val="Subtle Emphasis"/>
    <w:uiPriority w:val="19"/>
    <w:qFormat/>
    <w:rsid w:val="000B6D2B"/>
    <w:rPr>
      <w:i/>
      <w:iCs/>
    </w:rPr>
  </w:style>
  <w:style w:type="character" w:styleId="Ershangslyozs">
    <w:name w:val="Intense Emphasis"/>
    <w:uiPriority w:val="21"/>
    <w:qFormat/>
    <w:rsid w:val="000B6D2B"/>
    <w:rPr>
      <w:b/>
      <w:bCs/>
    </w:rPr>
  </w:style>
  <w:style w:type="character" w:styleId="Finomhivatkozs">
    <w:name w:val="Subtle Reference"/>
    <w:uiPriority w:val="31"/>
    <w:qFormat/>
    <w:rsid w:val="000B6D2B"/>
    <w:rPr>
      <w:smallCaps/>
    </w:rPr>
  </w:style>
  <w:style w:type="character" w:styleId="Ershivatkozs">
    <w:name w:val="Intense Reference"/>
    <w:uiPriority w:val="32"/>
    <w:qFormat/>
    <w:rsid w:val="000B6D2B"/>
    <w:rPr>
      <w:smallCaps/>
      <w:spacing w:val="5"/>
      <w:u w:val="single"/>
    </w:rPr>
  </w:style>
  <w:style w:type="character" w:styleId="Knyvcme">
    <w:name w:val="Book Title"/>
    <w:uiPriority w:val="33"/>
    <w:qFormat/>
    <w:rsid w:val="000B6D2B"/>
    <w:rPr>
      <w:i/>
      <w:iCs/>
      <w:smallCaps/>
      <w:spacing w:val="5"/>
    </w:rPr>
  </w:style>
  <w:style w:type="paragraph" w:styleId="Tartalomjegyzkcmsora">
    <w:name w:val="TOC Heading"/>
    <w:basedOn w:val="Cmsor1"/>
    <w:next w:val="Norml"/>
    <w:uiPriority w:val="39"/>
    <w:semiHidden/>
    <w:unhideWhenUsed/>
    <w:qFormat/>
    <w:rsid w:val="000B6D2B"/>
    <w:pPr>
      <w:outlineLvl w:val="9"/>
    </w:pPr>
  </w:style>
  <w:style w:type="character" w:customStyle="1" w:styleId="NincstrkzChar">
    <w:name w:val="Nincs térköz Char"/>
    <w:basedOn w:val="Bekezdsalapbettpusa"/>
    <w:link w:val="Nincstrkz"/>
    <w:uiPriority w:val="1"/>
    <w:rsid w:val="0069191A"/>
  </w:style>
  <w:style w:type="paragraph" w:styleId="TJ1">
    <w:name w:val="toc 1"/>
    <w:basedOn w:val="Norml"/>
    <w:next w:val="Norml"/>
    <w:autoRedefine/>
    <w:uiPriority w:val="39"/>
    <w:unhideWhenUsed/>
    <w:rsid w:val="0069191A"/>
    <w:pPr>
      <w:spacing w:after="100"/>
    </w:pPr>
  </w:style>
  <w:style w:type="paragraph" w:styleId="TJ2">
    <w:name w:val="toc 2"/>
    <w:basedOn w:val="Norml"/>
    <w:next w:val="Norml"/>
    <w:autoRedefine/>
    <w:uiPriority w:val="39"/>
    <w:unhideWhenUsed/>
    <w:rsid w:val="00413518"/>
    <w:pPr>
      <w:tabs>
        <w:tab w:val="left" w:pos="1418"/>
        <w:tab w:val="right" w:leader="dot" w:pos="9062"/>
      </w:tabs>
      <w:spacing w:after="100"/>
      <w:ind w:left="284"/>
    </w:pPr>
  </w:style>
  <w:style w:type="paragraph" w:styleId="TJ3">
    <w:name w:val="toc 3"/>
    <w:basedOn w:val="Norml"/>
    <w:next w:val="Norml"/>
    <w:autoRedefine/>
    <w:uiPriority w:val="39"/>
    <w:unhideWhenUsed/>
    <w:rsid w:val="00933263"/>
    <w:pPr>
      <w:tabs>
        <w:tab w:val="right" w:leader="dot" w:pos="9062"/>
      </w:tabs>
      <w:spacing w:after="100"/>
      <w:ind w:left="851"/>
    </w:pPr>
  </w:style>
  <w:style w:type="character" w:styleId="Mrltotthiperhivatkozs">
    <w:name w:val="FollowedHyperlink"/>
    <w:basedOn w:val="Bekezdsalapbettpusa"/>
    <w:uiPriority w:val="99"/>
    <w:semiHidden/>
    <w:unhideWhenUsed/>
    <w:rsid w:val="009C366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diagramQuickStyle" Target="diagrams/quickStyle2.xml"/><Relationship Id="rId26" Type="http://schemas.openxmlformats.org/officeDocument/2006/relationships/diagramColors" Target="diagrams/colors3.xml"/><Relationship Id="rId39" Type="http://schemas.openxmlformats.org/officeDocument/2006/relationships/hyperlink" Target="http://www.nav.gov.hu/data/cms1637/int0406cikk.pdf" TargetMode="External"/><Relationship Id="rId21" Type="http://schemas.openxmlformats.org/officeDocument/2006/relationships/chart" Target="charts/chart1.xml"/><Relationship Id="rId34" Type="http://schemas.microsoft.com/office/2007/relationships/diagramDrawing" Target="diagrams/drawing4.xml"/><Relationship Id="rId42" Type="http://schemas.openxmlformats.org/officeDocument/2006/relationships/hyperlink" Target="http://www.foes.de/pdf/201007%20Walter%20Deffaa%20%20Environmental%20Taxation%20at%20EU%20level.pdf" TargetMode="External"/><Relationship Id="rId47" Type="http://schemas.openxmlformats.org/officeDocument/2006/relationships/hyperlink" Target="file://C:\Users\R&#243;nai%20Orsolya\Documents\TDK_p&#233;nz&#252;gy\OTDK\www.google.hu\url?sa=t&amp;rct=j&amp;q=&amp;esrc=s&amp;source=web&amp;cd=1&amp;ved=0CCkQFjAA&amp;url=http:\\www.eea.europa.eu\publications\environmental_assessment_report_2002_9\sig02LOW.pdf&amp;ei=co9hUKKAJMrNtAa_94HwCw&amp;usg=AFQjCNFtALeN0XDKBvwHlf0rzro0PhJVyw" TargetMode="External"/><Relationship Id="rId50" Type="http://schemas.openxmlformats.org/officeDocument/2006/relationships/hyperlink" Target="http://www.oecd.org/env/environmentalpolicytoolsandevaluation/1935530.pdf" TargetMode="External"/><Relationship Id="rId55" Type="http://schemas.openxmlformats.org/officeDocument/2006/relationships/hyperlink" Target="http://miau.gau.hu/avir/intranet/debrecen_hallgatoi/tananyagok/jegyzet/21-Kornyezetgazdalkodas.pdf" TargetMode="External"/><Relationship Id="rId63" Type="http://schemas.openxmlformats.org/officeDocument/2006/relationships/hyperlink" Target="http://search.oecd.org/officialdocuments/displaydocumentpdf/?doclanguage=en&amp;cote=com/env/epoc/ctpa/cfa%282004%2966/final" TargetMode="External"/><Relationship Id="rId68" Type="http://schemas.openxmlformats.org/officeDocument/2006/relationships/hyperlink" Target="http://www.worldcat.org/title/use-of-economic-instruments-in-nordic-and-baltic-environmental-policy-2001-2005/oclc/74888663" TargetMode="External"/><Relationship Id="rId76" Type="http://schemas.openxmlformats.org/officeDocument/2006/relationships/hyperlink" Target="http://www2.dmu.dk/cometr/COMETR_Final_Report.pdf" TargetMode="External"/><Relationship Id="rId7" Type="http://schemas.openxmlformats.org/officeDocument/2006/relationships/footnotes" Target="footnotes.xml"/><Relationship Id="rId71" Type="http://schemas.openxmlformats.org/officeDocument/2006/relationships/hyperlink" Target="http://www.regeringen.se/content/1/c6/08/86/13/5e9ed088.pdf" TargetMode="External"/><Relationship Id="rId2" Type="http://schemas.openxmlformats.org/officeDocument/2006/relationships/numbering" Target="numbering.xml"/><Relationship Id="rId16" Type="http://schemas.openxmlformats.org/officeDocument/2006/relationships/diagramData" Target="diagrams/data2.xml"/><Relationship Id="rId29" Type="http://schemas.openxmlformats.org/officeDocument/2006/relationships/hyperlink" Target="http://www.ons.gov.uk/ons/rel/environmental/environmental-accounts/2011/environmental-taxes.html" TargetMode="External"/><Relationship Id="rId11" Type="http://schemas.openxmlformats.org/officeDocument/2006/relationships/diagramData" Target="diagrams/data1.xml"/><Relationship Id="rId24" Type="http://schemas.openxmlformats.org/officeDocument/2006/relationships/diagramLayout" Target="diagrams/layout3.xml"/><Relationship Id="rId32" Type="http://schemas.openxmlformats.org/officeDocument/2006/relationships/diagramQuickStyle" Target="diagrams/quickStyle4.xml"/><Relationship Id="rId37" Type="http://schemas.openxmlformats.org/officeDocument/2006/relationships/hyperlink" Target="http://aei.pitt.edu/1139/" TargetMode="External"/><Relationship Id="rId40" Type="http://schemas.openxmlformats.org/officeDocument/2006/relationships/hyperlink" Target="http://www.greenfiscalcommission.org.uk/images/uploads/gfcBriefing7_PDF_isbn_v8.pdf%09" TargetMode="External"/><Relationship Id="rId45" Type="http://schemas.openxmlformats.org/officeDocument/2006/relationships/hyperlink" Target="http://www.eea.europa.eu/publications/environmental-tax-reform-in-europe" TargetMode="External"/><Relationship Id="rId53" Type="http://schemas.openxmlformats.org/officeDocument/2006/relationships/hyperlink" Target="http://dspace.cigilibrary.org/jspui/bitstream/123456789/12187/1/Energy%20Taxation%20in%20Europe%20Current%20Status%20Drivers%20and%20Barriers%20Future%20Prospects.pdf?1" TargetMode="External"/><Relationship Id="rId58" Type="http://schemas.openxmlformats.org/officeDocument/2006/relationships/hyperlink" Target="http://www.google.hu/url?sa=t&amp;rct=j&amp;q=&amp;esrc=s&amp;source=web&amp;cd=1&amp;ved=0CCQQFjAA&amp;url=http%3A%2F%2Fwww.akf.dk%2Fudgivelser%2F2002%2Fpdf%2Fnegotiatingeuco2.pdf&amp;ei=XwtbUNb_Do-Mswbf14CQCQ&amp;usg=AFQjCNF3u9EM9_Sqj9Sxk3qeKobyZm26AQ" TargetMode="External"/><Relationship Id="rId66" Type="http://schemas.openxmlformats.org/officeDocument/2006/relationships/hyperlink" Target="http://www-sekon.slu.se/~bkr/gbg.pdf" TargetMode="External"/><Relationship Id="rId74" Type="http://schemas.openxmlformats.org/officeDocument/2006/relationships/hyperlink" Target="http://ec.europa.eu/taxation_customs/resources/documents/taxation/gen_info/economic_analysis/tax_structures/structures2008.pdf" TargetMode="External"/><Relationship Id="rId79"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cozpserver1n2.jinonice.cuni.cz/ekoreforma/EDR/Mayer%20DIW%20study.pdf" TargetMode="External"/><Relationship Id="rId10" Type="http://schemas.openxmlformats.org/officeDocument/2006/relationships/hyperlink" Target="http://ec.europa.eu/taxation_customs/resources/documents/taxation/gen_info/economic_analysis/tax_structures/structures2008.pdf" TargetMode="External"/><Relationship Id="rId19" Type="http://schemas.openxmlformats.org/officeDocument/2006/relationships/diagramColors" Target="diagrams/colors2.xml"/><Relationship Id="rId31" Type="http://schemas.openxmlformats.org/officeDocument/2006/relationships/diagramLayout" Target="diagrams/layout4.xml"/><Relationship Id="rId44" Type="http://schemas.openxmlformats.org/officeDocument/2006/relationships/hyperlink" Target="http://www.eea.europa.eu/publications/eea_report_2008_6" TargetMode="External"/><Relationship Id="rId52" Type="http://schemas.openxmlformats.org/officeDocument/2006/relationships/hyperlink" Target="http://eur-lex.europa.eu/LexUriServ/site/en/com/2007/com2007_0140en01.pdf" TargetMode="External"/><Relationship Id="rId60" Type="http://schemas.openxmlformats.org/officeDocument/2006/relationships/hyperlink" Target="http://ec.europa.eu/taxation_customs/resources/documents/taxation/gen_info/economic_analysis/tax_papers/taxation_paper_19.pdf" TargetMode="External"/><Relationship Id="rId65" Type="http://schemas.openxmlformats.org/officeDocument/2006/relationships/hyperlink" Target="http://circa.europa.eu/Public/irc/dsis/pip/library?l=/environmental_expenditur/country_studies/other_studies/environmental_environmen/_EN_1.0_&amp;a=d" TargetMode="External"/><Relationship Id="rId73" Type="http://schemas.openxmlformats.org/officeDocument/2006/relationships/hyperlink" Target="http://ec.europa.eu/taxation_customs/resources/documents/taxation/gen_info/economic_analysis/tax_papers/taxation_paper_32_en.pdf" TargetMode="External"/><Relationship Id="rId78"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diagramColors" Target="diagrams/colors1.xml"/><Relationship Id="rId22" Type="http://schemas.openxmlformats.org/officeDocument/2006/relationships/hyperlink" Target="http://www.destatis.de/EN/FactsFigures/NationalEconomyEnvironment/Environment/EnvironmentalEconomicAccounting/EnvironmentalProtectionMeasures/Current.htm" TargetMode="External"/><Relationship Id="rId27" Type="http://schemas.microsoft.com/office/2007/relationships/diagramDrawing" Target="diagrams/drawing3.xml"/><Relationship Id="rId30" Type="http://schemas.openxmlformats.org/officeDocument/2006/relationships/diagramData" Target="diagrams/data4.xml"/><Relationship Id="rId35" Type="http://schemas.openxmlformats.org/officeDocument/2006/relationships/image" Target="media/image3.jpeg"/><Relationship Id="rId43" Type="http://schemas.openxmlformats.org/officeDocument/2006/relationships/hyperlink" Target="http://www.eea.europa.eu/publications/Environmental_Issues_No_18" TargetMode="External"/><Relationship Id="rId48" Type="http://schemas.openxmlformats.org/officeDocument/2006/relationships/hyperlink" Target="http://www.geota.pt/xFiles/scContentDeployer_pt/docs/articleFile377.pdf" TargetMode="External"/><Relationship Id="rId56" Type="http://schemas.openxmlformats.org/officeDocument/2006/relationships/hyperlink" Target="http://korny.uni-corvinus.hu/kti/13_szam.pdf" TargetMode="External"/><Relationship Id="rId64" Type="http://schemas.openxmlformats.org/officeDocument/2006/relationships/hyperlink" Target="http://www.policy&#8722;network.net/uploadedFiles/Events/Events/The_politics_of_climate_change_in_the_UK_briefing.pdf" TargetMode="External"/><Relationship Id="rId69" Type="http://schemas.openxmlformats.org/officeDocument/2006/relationships/hyperlink" Target="http://www.vermontlaw.edu/Documents/020309-carbonTaxPaper.pdf" TargetMode="External"/><Relationship Id="rId77"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hyperlink" Target="http://www.energytoolbox.org/gcre/bibliography/160_Doerte_Fouquet_Thomas_Johansson_European_Energy_Tax_Mode.pdf" TargetMode="External"/><Relationship Id="rId72" Type="http://schemas.openxmlformats.org/officeDocument/2006/relationships/hyperlink" Target="http://gyorijegyzet.uw.hu/KornyezetPolitika.pdf" TargetMode="External"/><Relationship Id="rId3" Type="http://schemas.openxmlformats.org/officeDocument/2006/relationships/styles" Target="styles.xml"/><Relationship Id="rId12" Type="http://schemas.openxmlformats.org/officeDocument/2006/relationships/diagramLayout" Target="diagrams/layout1.xml"/><Relationship Id="rId17" Type="http://schemas.openxmlformats.org/officeDocument/2006/relationships/diagramLayout" Target="diagrams/layout2.xml"/><Relationship Id="rId25" Type="http://schemas.openxmlformats.org/officeDocument/2006/relationships/diagramQuickStyle" Target="diagrams/quickStyle3.xml"/><Relationship Id="rId33" Type="http://schemas.openxmlformats.org/officeDocument/2006/relationships/diagramColors" Target="diagrams/colors4.xml"/><Relationship Id="rId38" Type="http://schemas.openxmlformats.org/officeDocument/2006/relationships/hyperlink" Target="http://www.petre.org.uk/pdf/berlin2007/meyer_1.pdf" TargetMode="External"/><Relationship Id="rId46" Type="http://schemas.openxmlformats.org/officeDocument/2006/relationships/hyperlink" Target="http://www.fas.org/sgp/crs/misc/RL33578.pdf" TargetMode="External"/><Relationship Id="rId59" Type="http://schemas.openxmlformats.org/officeDocument/2006/relationships/hyperlink" Target="http://www.ief.es/documentos/recursos/publicaciones/documentos_trabajo/2005_21.pdf" TargetMode="External"/><Relationship Id="rId67" Type="http://schemas.openxmlformats.org/officeDocument/2006/relationships/hyperlink" Target="http://s3.amazonaws.com/zanran_storage/flipp.dinstudio.se/ContentPages/43307495.pdf" TargetMode="External"/><Relationship Id="rId20" Type="http://schemas.microsoft.com/office/2007/relationships/diagramDrawing" Target="diagrams/drawing2.xml"/><Relationship Id="rId41" Type="http://schemas.openxmlformats.org/officeDocument/2006/relationships/hyperlink" Target="http://ec.europa.eu/taxation_customs/resources/documents/common/publications/studies/taxation_energy_innov.pdf" TargetMode="External"/><Relationship Id="rId54" Type="http://schemas.openxmlformats.org/officeDocument/2006/relationships/hyperlink" Target="http://mek.oszk.hu/01400/01452/html/index.htm" TargetMode="External"/><Relationship Id="rId62" Type="http://schemas.openxmlformats.org/officeDocument/2006/relationships/hyperlink" Target="http://www.oecd.org/pcd/2674642.pdf" TargetMode="External"/><Relationship Id="rId70" Type="http://schemas.openxmlformats.org/officeDocument/2006/relationships/hyperlink" Target="http://www.vjel.org/journal/pdf/VJEL10074.pdf" TargetMode="External"/><Relationship Id="rId75" Type="http://schemas.openxmlformats.org/officeDocument/2006/relationships/hyperlink" Target="http://epp.eurostat.ec.europa.eu/cache/ITY_OFFPUB/KS-DU-12-001/EN/KS-DU-12-001-EN.PDF"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diagramData" Target="diagrams/data3.xml"/><Relationship Id="rId28" Type="http://schemas.openxmlformats.org/officeDocument/2006/relationships/image" Target="media/image2.jpeg"/><Relationship Id="rId36" Type="http://schemas.openxmlformats.org/officeDocument/2006/relationships/hyperlink" Target="file:///C:\Users\R&#243;nai%20Orsolya\Documents\TDK_p&#233;nz&#252;gy\OTDK\www.ksh.hu\docs\eng\xftp\idoszaki\ekornyhelyzetkep11.pdf" TargetMode="External"/><Relationship Id="rId49" Type="http://schemas.openxmlformats.org/officeDocument/2006/relationships/hyperlink" Target="http://www.ksh.hu/docs/eng/xftp/idoszaki/ekornyhelyzetkep11.pdf" TargetMode="External"/><Relationship Id="rId57" Type="http://schemas.openxmlformats.org/officeDocument/2006/relationships/hyperlink" Target="http://numen.extra.hu/jegyzet/misc/KORNYPOL/zgazdpol.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eeassoc.org/index.php?page=4" TargetMode="External"/><Relationship Id="rId13" Type="http://schemas.openxmlformats.org/officeDocument/2006/relationships/hyperlink" Target="http://www.nber.org/papers/w4896" TargetMode="External"/><Relationship Id="rId18" Type="http://schemas.openxmlformats.org/officeDocument/2006/relationships/hyperlink" Target="http://aei.pitt.edu" TargetMode="External"/><Relationship Id="rId26" Type="http://schemas.openxmlformats.org/officeDocument/2006/relationships/hyperlink" Target="http://www.energytoolbox.org" TargetMode="External"/><Relationship Id="rId39" Type="http://schemas.openxmlformats.org/officeDocument/2006/relationships/hyperlink" Target="http://www.ksh.hu" TargetMode="External"/><Relationship Id="rId3" Type="http://schemas.openxmlformats.org/officeDocument/2006/relationships/hyperlink" Target="http://ec.europa.eu/europe2020/priorities/sustainable-growth/index_en.htm" TargetMode="External"/><Relationship Id="rId21" Type="http://schemas.openxmlformats.org/officeDocument/2006/relationships/hyperlink" Target="http://www.sweden.gov.se/sb/d/5400/a/43594" TargetMode="External"/><Relationship Id="rId34" Type="http://schemas.openxmlformats.org/officeDocument/2006/relationships/hyperlink" Target="http://circa.europa.eu" TargetMode="External"/><Relationship Id="rId7" Type="http://schemas.openxmlformats.org/officeDocument/2006/relationships/hyperlink" Target="file:///C:\Users\R&#243;nai%20Orsolya\Documents\TDK_p&#233;nz&#252;gy\OTDK\.):%20http:\www.iedonline.net\ied_orgs.htm" TargetMode="External"/><Relationship Id="rId12" Type="http://schemas.openxmlformats.org/officeDocument/2006/relationships/hyperlink" Target="http://www.ief.es" TargetMode="External"/><Relationship Id="rId17" Type="http://schemas.openxmlformats.org/officeDocument/2006/relationships/hyperlink" Target="http://ec.europa.eu" TargetMode="External"/><Relationship Id="rId25" Type="http://schemas.openxmlformats.org/officeDocument/2006/relationships/hyperlink" Target="http://www2.dmu.dk" TargetMode="External"/><Relationship Id="rId33" Type="http://schemas.openxmlformats.org/officeDocument/2006/relationships/hyperlink" Target="http://www.geota.pt" TargetMode="External"/><Relationship Id="rId38" Type="http://schemas.openxmlformats.org/officeDocument/2006/relationships/hyperlink" Target="http://www.nav.gov.hu" TargetMode="External"/><Relationship Id="rId2" Type="http://schemas.openxmlformats.org/officeDocument/2006/relationships/hyperlink" Target="file:///C:\Users\R&#243;nai%20Orsolya\Documents\TDK_p&#233;nz&#252;gy\OTDK\www.oecd.org" TargetMode="External"/><Relationship Id="rId16" Type="http://schemas.openxmlformats.org/officeDocument/2006/relationships/hyperlink" Target="http://eur-lex.europa.eu/LexUriServ/LexUriServ.do?uri=OJ:C:2009:082:0005:0006:FR:PDF" TargetMode="External"/><Relationship Id="rId20" Type="http://schemas.openxmlformats.org/officeDocument/2006/relationships/hyperlink" Target="http://www.foes.de" TargetMode="External"/><Relationship Id="rId29" Type="http://schemas.openxmlformats.org/officeDocument/2006/relationships/hyperlink" Target="http://www-sekon.slu.se" TargetMode="External"/><Relationship Id="rId1" Type="http://schemas.openxmlformats.org/officeDocument/2006/relationships/hyperlink" Target="http://mek.oszk.hu" TargetMode="External"/><Relationship Id="rId6" Type="http://schemas.openxmlformats.org/officeDocument/2006/relationships/hyperlink" Target="http://www.mta.ca/faculty/socsci/geograph/genv4111/International%20laws.pdf" TargetMode="External"/><Relationship Id="rId11" Type="http://schemas.openxmlformats.org/officeDocument/2006/relationships/hyperlink" Target="http://www.google.hu" TargetMode="External"/><Relationship Id="rId24" Type="http://schemas.openxmlformats.org/officeDocument/2006/relationships/hyperlink" Target="http://www.vermontlaw.edu" TargetMode="External"/><Relationship Id="rId32" Type="http://schemas.openxmlformats.org/officeDocument/2006/relationships/hyperlink" Target="http://www.destatis.de/EN/FactsFigures/NationalEconomyEnvironment/Environment/EnvironmentalEconomicAccounting/EnvironmentalProtectionMeasures/Current.html" TargetMode="External"/><Relationship Id="rId37" Type="http://schemas.openxmlformats.org/officeDocument/2006/relationships/hyperlink" Target="http://www.ons.gov.uk/ons/rel/environmental/environmental-accounts/2011/environmental-taxes.html" TargetMode="External"/><Relationship Id="rId5" Type="http://schemas.openxmlformats.org/officeDocument/2006/relationships/hyperlink" Target="http://ec.europa.eu/environment/eussd/" TargetMode="External"/><Relationship Id="rId15" Type="http://schemas.openxmlformats.org/officeDocument/2006/relationships/hyperlink" Target="http://www.ecofin.co.uk" TargetMode="External"/><Relationship Id="rId23" Type="http://schemas.openxmlformats.org/officeDocument/2006/relationships/hyperlink" Target="http://www.sweden.gov.se/content/1/c6/08/86/13/5e9ed088.pdf" TargetMode="External"/><Relationship Id="rId28" Type="http://schemas.openxmlformats.org/officeDocument/2006/relationships/hyperlink" Target="http://www.sweden.gov.se/sb/d/5400/a/43594" TargetMode="External"/><Relationship Id="rId36" Type="http://schemas.openxmlformats.org/officeDocument/2006/relationships/hyperlink" Target="http://search.oecd.org" TargetMode="External"/><Relationship Id="rId10" Type="http://schemas.openxmlformats.org/officeDocument/2006/relationships/hyperlink" Target="http://korny.uni-corvinus.hu" TargetMode="External"/><Relationship Id="rId19" Type="http://schemas.openxmlformats.org/officeDocument/2006/relationships/hyperlink" Target="http://ec.europa.eu/taxation_customs/taxation/gen_info/info_docs/tax_inventory/faq_3947_en.htm" TargetMode="External"/><Relationship Id="rId31" Type="http://schemas.openxmlformats.org/officeDocument/2006/relationships/hyperlink" Target="http://www.vjel.org" TargetMode="External"/><Relationship Id="rId4" Type="http://schemas.openxmlformats.org/officeDocument/2006/relationships/hyperlink" Target="http://gyorijegyzet.uw.hu" TargetMode="External"/><Relationship Id="rId9" Type="http://schemas.openxmlformats.org/officeDocument/2006/relationships/hyperlink" Target="http://dspace.cigilibrary.org" TargetMode="External"/><Relationship Id="rId14" Type="http://schemas.openxmlformats.org/officeDocument/2006/relationships/hyperlink" Target="http://www.eea.europa.eu" TargetMode="External"/><Relationship Id="rId22" Type="http://schemas.openxmlformats.org/officeDocument/2006/relationships/hyperlink" Target="http://www.norden.org" TargetMode="External"/><Relationship Id="rId27" Type="http://schemas.openxmlformats.org/officeDocument/2006/relationships/hyperlink" Target="http://www.sweden.gov.se/sb/d/4426/a/30550" TargetMode="External"/><Relationship Id="rId30" Type="http://schemas.openxmlformats.org/officeDocument/2006/relationships/hyperlink" Target="http://epp.eurostat.ec.europa.eu" TargetMode="External"/><Relationship Id="rId35" Type="http://schemas.openxmlformats.org/officeDocument/2006/relationships/hyperlink" Target="http://www.policy-network.net"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munkalap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hu-HU"/>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a:pPr>
            <a:r>
              <a:rPr lang="hu-HU"/>
              <a:t>A német környezetvédelmi adók %-os megoszlása</a:t>
            </a:r>
            <a:endParaRPr lang="en-US"/>
          </a:p>
        </c:rich>
      </c:tx>
      <c:layout>
        <c:manualLayout>
          <c:xMode val="edge"/>
          <c:yMode val="edge"/>
          <c:x val="1.8170384951881027E-3"/>
          <c:y val="0"/>
        </c:manualLayout>
      </c:layout>
      <c:overlay val="0"/>
    </c:title>
    <c:autoTitleDeleted val="0"/>
    <c:plotArea>
      <c:layout/>
      <c:pieChart>
        <c:varyColors val="1"/>
        <c:ser>
          <c:idx val="0"/>
          <c:order val="0"/>
          <c:tx>
            <c:strRef>
              <c:f>Munka1!$B$1</c:f>
              <c:strCache>
                <c:ptCount val="1"/>
                <c:pt idx="0">
                  <c:v>Értékesítés</c:v>
                </c:pt>
              </c:strCache>
            </c:strRef>
          </c:tx>
          <c:dLbls>
            <c:dLbl>
              <c:idx val="0"/>
              <c:tx>
                <c:rich>
                  <a:bodyPr/>
                  <a:lstStyle/>
                  <a:p>
                    <a:r>
                      <a:rPr lang="en-US"/>
                      <a:t>Energiaadó (korábban ásványiolaj adó)
68%</a:t>
                    </a:r>
                    <a:r>
                      <a:rPr lang="hu-HU"/>
                      <a:t> (40 mrd </a:t>
                    </a:r>
                    <a:r>
                      <a:rPr lang="hu-HU" sz="1000" b="0" i="0" u="none" strike="noStrike" baseline="0"/>
                      <a:t>€)</a:t>
                    </a:r>
                    <a:endParaRPr lang="en-US"/>
                  </a:p>
                </c:rich>
              </c:tx>
              <c:showLegendKey val="0"/>
              <c:showVal val="0"/>
              <c:showCatName val="1"/>
              <c:showSerName val="0"/>
              <c:showPercent val="1"/>
              <c:showBubbleSize val="0"/>
            </c:dLbl>
            <c:dLbl>
              <c:idx val="1"/>
              <c:tx>
                <c:rich>
                  <a:bodyPr/>
                  <a:lstStyle/>
                  <a:p>
                    <a:r>
                      <a:rPr lang="hu-HU"/>
                      <a:t>Motorgépjármű adó
15% (8,4 mrd </a:t>
                    </a:r>
                    <a:r>
                      <a:rPr lang="hu-HU">
                        <a:latin typeface="Times New Roman"/>
                        <a:cs typeface="Times New Roman"/>
                      </a:rPr>
                      <a:t>€)</a:t>
                    </a:r>
                    <a:endParaRPr lang="hu-HU"/>
                  </a:p>
                </c:rich>
              </c:tx>
              <c:showLegendKey val="0"/>
              <c:showVal val="0"/>
              <c:showCatName val="1"/>
              <c:showSerName val="0"/>
              <c:showPercent val="1"/>
              <c:showBubbleSize val="0"/>
            </c:dLbl>
            <c:dLbl>
              <c:idx val="2"/>
              <c:tx>
                <c:rich>
                  <a:bodyPr/>
                  <a:lstStyle/>
                  <a:p>
                    <a:r>
                      <a:rPr lang="en-US"/>
                      <a:t>Villamos-energiaadó
13%</a:t>
                    </a:r>
                    <a:r>
                      <a:rPr lang="hu-HU"/>
                      <a:t> (7,2 mrd </a:t>
                    </a:r>
                    <a:r>
                      <a:rPr lang="hu-HU" sz="1000" b="0" i="0" u="none" strike="noStrike" baseline="0"/>
                      <a:t>€)</a:t>
                    </a:r>
                    <a:endParaRPr lang="en-US"/>
                  </a:p>
                </c:rich>
              </c:tx>
              <c:showLegendKey val="0"/>
              <c:showVal val="0"/>
              <c:showCatName val="1"/>
              <c:showSerName val="0"/>
              <c:showPercent val="1"/>
              <c:showBubbleSize val="0"/>
            </c:dLbl>
            <c:dLbl>
              <c:idx val="3"/>
              <c:layout>
                <c:manualLayout>
                  <c:x val="9.7526428988043576E-2"/>
                  <c:y val="-3.6029125391584142E-2"/>
                </c:manualLayout>
              </c:layout>
              <c:tx>
                <c:rich>
                  <a:bodyPr/>
                  <a:lstStyle/>
                  <a:p>
                    <a:r>
                      <a:rPr lang="en-US"/>
                      <a:t>Nukleáris üzemanyagaadó
2%</a:t>
                    </a:r>
                    <a:r>
                      <a:rPr lang="hu-HU"/>
                      <a:t> (900 millió </a:t>
                    </a:r>
                    <a:r>
                      <a:rPr lang="hu-HU" sz="1000" b="0" i="0" u="none" strike="noStrike" baseline="0"/>
                      <a:t>€)</a:t>
                    </a:r>
                    <a:endParaRPr lang="en-US"/>
                  </a:p>
                </c:rich>
              </c:tx>
              <c:showLegendKey val="0"/>
              <c:showVal val="0"/>
              <c:showCatName val="1"/>
              <c:showSerName val="0"/>
              <c:showPercent val="1"/>
              <c:showBubbleSize val="0"/>
            </c:dLbl>
            <c:dLbl>
              <c:idx val="4"/>
              <c:layout>
                <c:manualLayout>
                  <c:x val="0.22030621172353468"/>
                  <c:y val="5.1869613072559467E-2"/>
                </c:manualLayout>
              </c:layout>
              <c:tx>
                <c:rich>
                  <a:bodyPr/>
                  <a:lstStyle/>
                  <a:p>
                    <a:r>
                      <a:rPr lang="en-US"/>
                      <a:t>Légi közlekedési adó
2%</a:t>
                    </a:r>
                    <a:r>
                      <a:rPr lang="hu-HU"/>
                      <a:t> (900 millió</a:t>
                    </a:r>
                    <a:r>
                      <a:rPr lang="hu-HU" baseline="0"/>
                      <a:t> </a:t>
                    </a:r>
                    <a:r>
                      <a:rPr lang="hu-HU" sz="1000" b="0" i="0" u="none" strike="noStrike" baseline="0"/>
                      <a:t>€)</a:t>
                    </a:r>
                    <a:endParaRPr lang="en-US"/>
                  </a:p>
                </c:rich>
              </c:tx>
              <c:showLegendKey val="0"/>
              <c:showVal val="0"/>
              <c:showCatName val="1"/>
              <c:showSerName val="0"/>
              <c:showPercent val="1"/>
              <c:showBubbleSize val="0"/>
            </c:dLbl>
            <c:showLegendKey val="0"/>
            <c:showVal val="0"/>
            <c:showCatName val="1"/>
            <c:showSerName val="0"/>
            <c:showPercent val="1"/>
            <c:showBubbleSize val="0"/>
            <c:showLeaderLines val="1"/>
          </c:dLbls>
          <c:cat>
            <c:strRef>
              <c:f>Munka1!$A$2:$A$6</c:f>
              <c:strCache>
                <c:ptCount val="5"/>
                <c:pt idx="0">
                  <c:v>Energiaadó (korábban ásványiolaj adó)</c:v>
                </c:pt>
                <c:pt idx="1">
                  <c:v>Motorgépjármű adó</c:v>
                </c:pt>
                <c:pt idx="2">
                  <c:v>Villamos-energiaadó</c:v>
                </c:pt>
                <c:pt idx="3">
                  <c:v>Nukleáris üzemanyagaadó</c:v>
                </c:pt>
                <c:pt idx="4">
                  <c:v>Légi közlekedési adó</c:v>
                </c:pt>
              </c:strCache>
            </c:strRef>
          </c:cat>
          <c:val>
            <c:numRef>
              <c:f>Munka1!$B$2:$B$6</c:f>
              <c:numCache>
                <c:formatCode>General</c:formatCode>
                <c:ptCount val="5"/>
                <c:pt idx="0">
                  <c:v>70</c:v>
                </c:pt>
                <c:pt idx="1">
                  <c:v>15</c:v>
                </c:pt>
                <c:pt idx="2">
                  <c:v>13</c:v>
                </c:pt>
                <c:pt idx="3">
                  <c:v>2</c:v>
                </c:pt>
                <c:pt idx="4">
                  <c:v>2</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txPr>
    <a:bodyPr/>
    <a:lstStyle/>
    <a:p>
      <a:pPr>
        <a:defRPr>
          <a:latin typeface="Times New Roman" pitchFamily="18" charset="0"/>
          <a:cs typeface="Times New Roman" pitchFamily="18" charset="0"/>
        </a:defRPr>
      </a:pPr>
      <a:endParaRPr lang="hu-HU"/>
    </a:p>
  </c:txPr>
  <c:externalData r:id="rId1">
    <c:autoUpdate val="0"/>
  </c:externalData>
  <c:userShapes r:id="rId2"/>
</c:chartSpac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F161FFB-620F-470A-AAB8-D321EB3F690D}" type="doc">
      <dgm:prSet loTypeId="urn:microsoft.com/office/officeart/2005/8/layout/hierarchy2" loCatId="hierarchy" qsTypeId="urn:microsoft.com/office/officeart/2005/8/quickstyle/simple1" qsCatId="simple" csTypeId="urn:microsoft.com/office/officeart/2005/8/colors/accent0_1" csCatId="mainScheme" phldr="1"/>
      <dgm:spPr/>
      <dgm:t>
        <a:bodyPr/>
        <a:lstStyle/>
        <a:p>
          <a:endParaRPr lang="hu-HU"/>
        </a:p>
      </dgm:t>
    </dgm:pt>
    <dgm:pt modelId="{DE0B4455-AADA-40E5-B1BF-6FE007106608}">
      <dgm:prSet phldrT="[Szöveg]" custT="1"/>
      <dgm:spPr/>
      <dgm:t>
        <a:bodyPr/>
        <a:lstStyle/>
        <a:p>
          <a:r>
            <a:rPr lang="hu-HU" sz="1200">
              <a:latin typeface="Times New Roman" pitchFamily="18" charset="0"/>
              <a:cs typeface="Times New Roman" pitchFamily="18" charset="0"/>
            </a:rPr>
            <a:t>Energiaadó-rendszer</a:t>
          </a:r>
        </a:p>
      </dgm:t>
    </dgm:pt>
    <dgm:pt modelId="{E75025AF-7A98-4EF5-B0C6-1B152757DD0B}" type="parTrans" cxnId="{E55A5842-8A08-4101-961F-12EF4656A1FD}">
      <dgm:prSet/>
      <dgm:spPr/>
      <dgm:t>
        <a:bodyPr/>
        <a:lstStyle/>
        <a:p>
          <a:endParaRPr lang="hu-HU" sz="1200">
            <a:latin typeface="Times New Roman" pitchFamily="18" charset="0"/>
            <a:cs typeface="Times New Roman" pitchFamily="18" charset="0"/>
          </a:endParaRPr>
        </a:p>
      </dgm:t>
    </dgm:pt>
    <dgm:pt modelId="{EFB4DD2C-7A51-4E4D-B2D6-14B8B7DF443C}" type="sibTrans" cxnId="{E55A5842-8A08-4101-961F-12EF4656A1FD}">
      <dgm:prSet/>
      <dgm:spPr/>
      <dgm:t>
        <a:bodyPr/>
        <a:lstStyle/>
        <a:p>
          <a:endParaRPr lang="hu-HU" sz="1200">
            <a:latin typeface="Times New Roman" pitchFamily="18" charset="0"/>
            <a:cs typeface="Times New Roman" pitchFamily="18" charset="0"/>
          </a:endParaRPr>
        </a:p>
      </dgm:t>
    </dgm:pt>
    <dgm:pt modelId="{88D82074-D536-4550-ACFE-F8AE3AB0B655}">
      <dgm:prSet phldrT="[Szöveg]" custT="1"/>
      <dgm:spPr/>
      <dgm:t>
        <a:bodyPr/>
        <a:lstStyle/>
        <a:p>
          <a:r>
            <a:rPr lang="hu-HU" sz="1200">
              <a:latin typeface="Times New Roman" pitchFamily="18" charset="0"/>
              <a:cs typeface="Times New Roman" pitchFamily="18" charset="0"/>
            </a:rPr>
            <a:t>NOx</a:t>
          </a:r>
        </a:p>
      </dgm:t>
    </dgm:pt>
    <dgm:pt modelId="{48C7D2A5-0DC3-40D9-B382-9244450D5BF7}" type="parTrans" cxnId="{B753F35D-D13C-44F6-9772-DE6BA0CE243B}">
      <dgm:prSet custT="1"/>
      <dgm:spPr/>
      <dgm:t>
        <a:bodyPr/>
        <a:lstStyle/>
        <a:p>
          <a:endParaRPr lang="hu-HU" sz="1200">
            <a:latin typeface="Times New Roman" pitchFamily="18" charset="0"/>
            <a:cs typeface="Times New Roman" pitchFamily="18" charset="0"/>
          </a:endParaRPr>
        </a:p>
      </dgm:t>
    </dgm:pt>
    <dgm:pt modelId="{C093064F-BFDE-4716-9546-19CC8677702E}" type="sibTrans" cxnId="{B753F35D-D13C-44F6-9772-DE6BA0CE243B}">
      <dgm:prSet/>
      <dgm:spPr/>
      <dgm:t>
        <a:bodyPr/>
        <a:lstStyle/>
        <a:p>
          <a:endParaRPr lang="hu-HU" sz="1200">
            <a:latin typeface="Times New Roman" pitchFamily="18" charset="0"/>
            <a:cs typeface="Times New Roman" pitchFamily="18" charset="0"/>
          </a:endParaRPr>
        </a:p>
      </dgm:t>
    </dgm:pt>
    <dgm:pt modelId="{1A742965-1218-49CE-86F4-7468ADFD9380}">
      <dgm:prSet phldrT="[Szöveg]" custT="1"/>
      <dgm:spPr/>
      <dgm:t>
        <a:bodyPr/>
        <a:lstStyle/>
        <a:p>
          <a:r>
            <a:rPr lang="hu-HU" sz="1200">
              <a:latin typeface="Times New Roman" pitchFamily="18" charset="0"/>
              <a:cs typeface="Times New Roman" pitchFamily="18" charset="0"/>
            </a:rPr>
            <a:t>SO</a:t>
          </a:r>
          <a:r>
            <a:rPr lang="hu-HU" sz="1200" baseline="-25000">
              <a:latin typeface="Times New Roman" pitchFamily="18" charset="0"/>
              <a:cs typeface="Times New Roman" pitchFamily="18" charset="0"/>
            </a:rPr>
            <a:t>2</a:t>
          </a:r>
          <a:endParaRPr lang="hu-HU" sz="1200">
            <a:latin typeface="Times New Roman" pitchFamily="18" charset="0"/>
            <a:cs typeface="Times New Roman" pitchFamily="18" charset="0"/>
          </a:endParaRPr>
        </a:p>
      </dgm:t>
    </dgm:pt>
    <dgm:pt modelId="{B6628ECC-E5AC-45CA-8B60-397BF004C5FD}" type="parTrans" cxnId="{279918F5-686C-4479-85E0-732EB639D567}">
      <dgm:prSet custT="1"/>
      <dgm:spPr/>
      <dgm:t>
        <a:bodyPr/>
        <a:lstStyle/>
        <a:p>
          <a:endParaRPr lang="hu-HU" sz="1200">
            <a:latin typeface="Times New Roman" pitchFamily="18" charset="0"/>
            <a:cs typeface="Times New Roman" pitchFamily="18" charset="0"/>
          </a:endParaRPr>
        </a:p>
      </dgm:t>
    </dgm:pt>
    <dgm:pt modelId="{9330209F-F347-4D23-BCA0-FA437B58C9D5}" type="sibTrans" cxnId="{279918F5-686C-4479-85E0-732EB639D567}">
      <dgm:prSet/>
      <dgm:spPr/>
      <dgm:t>
        <a:bodyPr/>
        <a:lstStyle/>
        <a:p>
          <a:endParaRPr lang="hu-HU" sz="1200">
            <a:latin typeface="Times New Roman" pitchFamily="18" charset="0"/>
            <a:cs typeface="Times New Roman" pitchFamily="18" charset="0"/>
          </a:endParaRPr>
        </a:p>
      </dgm:t>
    </dgm:pt>
    <dgm:pt modelId="{07DCA4FC-FC49-4020-BBFD-EAAA6FBB181E}">
      <dgm:prSet phldrT="[Szöveg]" custT="1"/>
      <dgm:spPr/>
      <dgm:t>
        <a:bodyPr/>
        <a:lstStyle/>
        <a:p>
          <a:r>
            <a:rPr lang="hu-HU" sz="1200">
              <a:latin typeface="Times New Roman" pitchFamily="18" charset="0"/>
              <a:cs typeface="Times New Roman" pitchFamily="18" charset="0"/>
            </a:rPr>
            <a:t>Energiaadó</a:t>
          </a:r>
        </a:p>
      </dgm:t>
    </dgm:pt>
    <dgm:pt modelId="{08A3D74E-F764-4BAE-885D-1CBDFA971041}" type="parTrans" cxnId="{9B436482-ABD2-410B-981B-675EAA233C8C}">
      <dgm:prSet custT="1"/>
      <dgm:spPr/>
      <dgm:t>
        <a:bodyPr/>
        <a:lstStyle/>
        <a:p>
          <a:endParaRPr lang="hu-HU" sz="1200">
            <a:latin typeface="Times New Roman" pitchFamily="18" charset="0"/>
            <a:cs typeface="Times New Roman" pitchFamily="18" charset="0"/>
          </a:endParaRPr>
        </a:p>
      </dgm:t>
    </dgm:pt>
    <dgm:pt modelId="{D7E26799-9556-4A38-B52F-A1D522B36E61}" type="sibTrans" cxnId="{9B436482-ABD2-410B-981B-675EAA233C8C}">
      <dgm:prSet/>
      <dgm:spPr/>
      <dgm:t>
        <a:bodyPr/>
        <a:lstStyle/>
        <a:p>
          <a:endParaRPr lang="hu-HU" sz="1200">
            <a:latin typeface="Times New Roman" pitchFamily="18" charset="0"/>
            <a:cs typeface="Times New Roman" pitchFamily="18" charset="0"/>
          </a:endParaRPr>
        </a:p>
      </dgm:t>
    </dgm:pt>
    <dgm:pt modelId="{C2C747E2-8E27-4F6C-99C1-1683B7B55D30}">
      <dgm:prSet phldrT="[Szöveg]" custT="1"/>
      <dgm:spPr/>
      <dgm:t>
        <a:bodyPr/>
        <a:lstStyle/>
        <a:p>
          <a:r>
            <a:rPr lang="hu-HU" sz="1200">
              <a:latin typeface="Times New Roman" pitchFamily="18" charset="0"/>
              <a:cs typeface="Times New Roman" pitchFamily="18" charset="0"/>
            </a:rPr>
            <a:t>CO</a:t>
          </a:r>
          <a:r>
            <a:rPr lang="hu-HU" sz="1200" baseline="-25000">
              <a:latin typeface="Times New Roman" pitchFamily="18" charset="0"/>
              <a:cs typeface="Times New Roman" pitchFamily="18" charset="0"/>
            </a:rPr>
            <a:t>2</a:t>
          </a:r>
          <a:endParaRPr lang="hu-HU" sz="1200">
            <a:latin typeface="Times New Roman" pitchFamily="18" charset="0"/>
            <a:cs typeface="Times New Roman" pitchFamily="18" charset="0"/>
          </a:endParaRPr>
        </a:p>
      </dgm:t>
    </dgm:pt>
    <dgm:pt modelId="{03986EDA-648C-4DC9-8121-9844EA11B6C8}" type="parTrans" cxnId="{83DB3F48-4134-4969-A1E7-D50D429436DD}">
      <dgm:prSet custT="1"/>
      <dgm:spPr/>
      <dgm:t>
        <a:bodyPr/>
        <a:lstStyle/>
        <a:p>
          <a:endParaRPr lang="hu-HU" sz="1200">
            <a:latin typeface="Times New Roman" pitchFamily="18" charset="0"/>
            <a:cs typeface="Times New Roman" pitchFamily="18" charset="0"/>
          </a:endParaRPr>
        </a:p>
      </dgm:t>
    </dgm:pt>
    <dgm:pt modelId="{20176EDF-A4F7-4D14-A0B0-EC2E6B1DF62A}" type="sibTrans" cxnId="{83DB3F48-4134-4969-A1E7-D50D429436DD}">
      <dgm:prSet/>
      <dgm:spPr/>
      <dgm:t>
        <a:bodyPr/>
        <a:lstStyle/>
        <a:p>
          <a:endParaRPr lang="hu-HU" sz="1200">
            <a:latin typeface="Times New Roman" pitchFamily="18" charset="0"/>
            <a:cs typeface="Times New Roman" pitchFamily="18" charset="0"/>
          </a:endParaRPr>
        </a:p>
      </dgm:t>
    </dgm:pt>
    <dgm:pt modelId="{C1354CA4-9691-415F-BA6F-84DB560E1C6B}">
      <dgm:prSet phldrT="[Szöveg]" custT="1"/>
      <dgm:spPr/>
      <dgm:t>
        <a:bodyPr/>
        <a:lstStyle/>
        <a:p>
          <a:r>
            <a:rPr lang="hu-HU" sz="1200">
              <a:latin typeface="Times New Roman" pitchFamily="18" charset="0"/>
              <a:cs typeface="Times New Roman" pitchFamily="18" charset="0"/>
            </a:rPr>
            <a:t>Villamos-energia</a:t>
          </a:r>
        </a:p>
      </dgm:t>
    </dgm:pt>
    <dgm:pt modelId="{B6701BAC-C31C-41E2-B582-28EEEB6971A8}" type="parTrans" cxnId="{AB6C2EBD-1C8E-476D-B0C7-2737A789719D}">
      <dgm:prSet custT="1"/>
      <dgm:spPr/>
      <dgm:t>
        <a:bodyPr/>
        <a:lstStyle/>
        <a:p>
          <a:endParaRPr lang="hu-HU" sz="1200">
            <a:latin typeface="Times New Roman" pitchFamily="18" charset="0"/>
            <a:cs typeface="Times New Roman" pitchFamily="18" charset="0"/>
          </a:endParaRPr>
        </a:p>
      </dgm:t>
    </dgm:pt>
    <dgm:pt modelId="{66010CF8-2A9F-4D58-B5A7-BCB860C60AB9}" type="sibTrans" cxnId="{AB6C2EBD-1C8E-476D-B0C7-2737A789719D}">
      <dgm:prSet/>
      <dgm:spPr/>
      <dgm:t>
        <a:bodyPr/>
        <a:lstStyle/>
        <a:p>
          <a:endParaRPr lang="hu-HU" sz="1200">
            <a:latin typeface="Times New Roman" pitchFamily="18" charset="0"/>
            <a:cs typeface="Times New Roman" pitchFamily="18" charset="0"/>
          </a:endParaRPr>
        </a:p>
      </dgm:t>
    </dgm:pt>
    <dgm:pt modelId="{2CD9DEE7-E200-49B4-B351-BCDB006C240E}">
      <dgm:prSet phldrT="[Szöveg]" custT="1"/>
      <dgm:spPr/>
      <dgm:t>
        <a:bodyPr/>
        <a:lstStyle/>
        <a:p>
          <a:r>
            <a:rPr lang="hu-HU" sz="1200">
              <a:latin typeface="Times New Roman" pitchFamily="18" charset="0"/>
              <a:cs typeface="Times New Roman" pitchFamily="18" charset="0"/>
            </a:rPr>
            <a:t>Földgáz</a:t>
          </a:r>
        </a:p>
      </dgm:t>
    </dgm:pt>
    <dgm:pt modelId="{04FD9F1A-68FF-4271-BBCC-13138F60F906}" type="parTrans" cxnId="{9DF6D208-E748-4FAF-9589-39A6EFEBE927}">
      <dgm:prSet custT="1"/>
      <dgm:spPr/>
      <dgm:t>
        <a:bodyPr/>
        <a:lstStyle/>
        <a:p>
          <a:endParaRPr lang="hu-HU" sz="1200">
            <a:latin typeface="Times New Roman" pitchFamily="18" charset="0"/>
            <a:cs typeface="Times New Roman" pitchFamily="18" charset="0"/>
          </a:endParaRPr>
        </a:p>
      </dgm:t>
    </dgm:pt>
    <dgm:pt modelId="{FD097B12-F9FD-4B2E-929C-F26F9834F073}" type="sibTrans" cxnId="{9DF6D208-E748-4FAF-9589-39A6EFEBE927}">
      <dgm:prSet/>
      <dgm:spPr/>
      <dgm:t>
        <a:bodyPr/>
        <a:lstStyle/>
        <a:p>
          <a:endParaRPr lang="hu-HU" sz="1200">
            <a:latin typeface="Times New Roman" pitchFamily="18" charset="0"/>
            <a:cs typeface="Times New Roman" pitchFamily="18" charset="0"/>
          </a:endParaRPr>
        </a:p>
      </dgm:t>
    </dgm:pt>
    <dgm:pt modelId="{EF2B7E6F-ED08-4863-B010-2E9E12FFAF60}">
      <dgm:prSet phldrT="[Szöveg]" custT="1"/>
      <dgm:spPr/>
      <dgm:t>
        <a:bodyPr/>
        <a:lstStyle/>
        <a:p>
          <a:r>
            <a:rPr lang="hu-HU" sz="1200">
              <a:latin typeface="Times New Roman" pitchFamily="18" charset="0"/>
              <a:cs typeface="Times New Roman" pitchFamily="18" charset="0"/>
            </a:rPr>
            <a:t>Szén</a:t>
          </a:r>
        </a:p>
      </dgm:t>
    </dgm:pt>
    <dgm:pt modelId="{A589B1DB-16D9-402D-99E8-1AA978603EAE}" type="parTrans" cxnId="{7FC6E1E1-DF9D-4CCD-9CE4-1F28A55FD92B}">
      <dgm:prSet custT="1"/>
      <dgm:spPr/>
      <dgm:t>
        <a:bodyPr/>
        <a:lstStyle/>
        <a:p>
          <a:endParaRPr lang="hu-HU" sz="1200">
            <a:latin typeface="Times New Roman" pitchFamily="18" charset="0"/>
            <a:cs typeface="Times New Roman" pitchFamily="18" charset="0"/>
          </a:endParaRPr>
        </a:p>
      </dgm:t>
    </dgm:pt>
    <dgm:pt modelId="{D67F525D-E8F3-4E10-BC18-B4D1DA26AB0D}" type="sibTrans" cxnId="{7FC6E1E1-DF9D-4CCD-9CE4-1F28A55FD92B}">
      <dgm:prSet/>
      <dgm:spPr/>
      <dgm:t>
        <a:bodyPr/>
        <a:lstStyle/>
        <a:p>
          <a:endParaRPr lang="hu-HU" sz="1200">
            <a:latin typeface="Times New Roman" pitchFamily="18" charset="0"/>
            <a:cs typeface="Times New Roman" pitchFamily="18" charset="0"/>
          </a:endParaRPr>
        </a:p>
      </dgm:t>
    </dgm:pt>
    <dgm:pt modelId="{094D5967-4E04-49E1-9092-2DD2469A04A3}">
      <dgm:prSet phldrT="[Szöveg]" custT="1"/>
      <dgm:spPr/>
      <dgm:t>
        <a:bodyPr/>
        <a:lstStyle/>
        <a:p>
          <a:r>
            <a:rPr lang="hu-HU" sz="1200">
              <a:latin typeface="Times New Roman" pitchFamily="18" charset="0"/>
              <a:cs typeface="Times New Roman" pitchFamily="18" charset="0"/>
            </a:rPr>
            <a:t>Pb-gáz</a:t>
          </a:r>
        </a:p>
      </dgm:t>
    </dgm:pt>
    <dgm:pt modelId="{072E6449-D212-44F7-B552-00C481E00825}" type="parTrans" cxnId="{75664003-48CC-4BED-B95B-8161555BFBAD}">
      <dgm:prSet custT="1"/>
      <dgm:spPr/>
      <dgm:t>
        <a:bodyPr/>
        <a:lstStyle/>
        <a:p>
          <a:endParaRPr lang="hu-HU" sz="1200">
            <a:latin typeface="Times New Roman" pitchFamily="18" charset="0"/>
            <a:cs typeface="Times New Roman" pitchFamily="18" charset="0"/>
          </a:endParaRPr>
        </a:p>
      </dgm:t>
    </dgm:pt>
    <dgm:pt modelId="{D1A6F14C-93BB-45D6-ACDF-D1CF8BBE543D}" type="sibTrans" cxnId="{75664003-48CC-4BED-B95B-8161555BFBAD}">
      <dgm:prSet/>
      <dgm:spPr/>
      <dgm:t>
        <a:bodyPr/>
        <a:lstStyle/>
        <a:p>
          <a:endParaRPr lang="hu-HU" sz="1200">
            <a:latin typeface="Times New Roman" pitchFamily="18" charset="0"/>
            <a:cs typeface="Times New Roman" pitchFamily="18" charset="0"/>
          </a:endParaRPr>
        </a:p>
      </dgm:t>
    </dgm:pt>
    <dgm:pt modelId="{49708D73-06FA-47AE-AADB-9FD3F77E1382}">
      <dgm:prSet phldrT="[Szöveg]" custT="1"/>
      <dgm:spPr/>
      <dgm:t>
        <a:bodyPr/>
        <a:lstStyle/>
        <a:p>
          <a:r>
            <a:rPr lang="hu-HU" sz="1200">
              <a:latin typeface="Times New Roman" pitchFamily="18" charset="0"/>
              <a:cs typeface="Times New Roman" pitchFamily="18" charset="0"/>
            </a:rPr>
            <a:t>Könnyű fűtőolajok</a:t>
          </a:r>
        </a:p>
      </dgm:t>
    </dgm:pt>
    <dgm:pt modelId="{F03370B2-1403-46EC-8269-4256EB534210}" type="parTrans" cxnId="{0E30157E-925D-4BDC-9A38-55762A0C6401}">
      <dgm:prSet custT="1"/>
      <dgm:spPr/>
      <dgm:t>
        <a:bodyPr/>
        <a:lstStyle/>
        <a:p>
          <a:endParaRPr lang="hu-HU" sz="1200">
            <a:latin typeface="Times New Roman" pitchFamily="18" charset="0"/>
            <a:cs typeface="Times New Roman" pitchFamily="18" charset="0"/>
          </a:endParaRPr>
        </a:p>
      </dgm:t>
    </dgm:pt>
    <dgm:pt modelId="{669EB58B-AF89-4A8E-99F0-FD1EC9FAFE53}" type="sibTrans" cxnId="{0E30157E-925D-4BDC-9A38-55762A0C6401}">
      <dgm:prSet/>
      <dgm:spPr/>
      <dgm:t>
        <a:bodyPr/>
        <a:lstStyle/>
        <a:p>
          <a:endParaRPr lang="hu-HU" sz="1200">
            <a:latin typeface="Times New Roman" pitchFamily="18" charset="0"/>
            <a:cs typeface="Times New Roman" pitchFamily="18" charset="0"/>
          </a:endParaRPr>
        </a:p>
      </dgm:t>
    </dgm:pt>
    <dgm:pt modelId="{F9D6FC70-D9D5-40CF-B5E3-90F7AB2833E9}">
      <dgm:prSet phldrT="[Szöveg]" custT="1"/>
      <dgm:spPr/>
      <dgm:t>
        <a:bodyPr/>
        <a:lstStyle/>
        <a:p>
          <a:r>
            <a:rPr lang="hu-HU" sz="1200">
              <a:latin typeface="Times New Roman" pitchFamily="18" charset="0"/>
              <a:cs typeface="Times New Roman" pitchFamily="18" charset="0"/>
            </a:rPr>
            <a:t>Nehéz fűtőolajok</a:t>
          </a:r>
        </a:p>
      </dgm:t>
    </dgm:pt>
    <dgm:pt modelId="{24FEBBBF-4DBD-4121-B859-9907E8B7D657}" type="parTrans" cxnId="{E1826638-F891-45B0-854C-21EEB61B5638}">
      <dgm:prSet custT="1"/>
      <dgm:spPr/>
      <dgm:t>
        <a:bodyPr/>
        <a:lstStyle/>
        <a:p>
          <a:endParaRPr lang="hu-HU" sz="1200">
            <a:latin typeface="Times New Roman" pitchFamily="18" charset="0"/>
            <a:cs typeface="Times New Roman" pitchFamily="18" charset="0"/>
          </a:endParaRPr>
        </a:p>
      </dgm:t>
    </dgm:pt>
    <dgm:pt modelId="{DD6F4BD8-2AE1-4C3E-961B-5F0F0C44532A}" type="sibTrans" cxnId="{E1826638-F891-45B0-854C-21EEB61B5638}">
      <dgm:prSet/>
      <dgm:spPr/>
      <dgm:t>
        <a:bodyPr/>
        <a:lstStyle/>
        <a:p>
          <a:endParaRPr lang="hu-HU" sz="1200">
            <a:latin typeface="Times New Roman" pitchFamily="18" charset="0"/>
            <a:cs typeface="Times New Roman" pitchFamily="18" charset="0"/>
          </a:endParaRPr>
        </a:p>
      </dgm:t>
    </dgm:pt>
    <dgm:pt modelId="{9E3CE708-D36E-4C82-8F45-D46057DF5322}" type="pres">
      <dgm:prSet presAssocID="{EF161FFB-620F-470A-AAB8-D321EB3F690D}" presName="diagram" presStyleCnt="0">
        <dgm:presLayoutVars>
          <dgm:chPref val="1"/>
          <dgm:dir/>
          <dgm:animOne val="branch"/>
          <dgm:animLvl val="lvl"/>
          <dgm:resizeHandles val="exact"/>
        </dgm:presLayoutVars>
      </dgm:prSet>
      <dgm:spPr/>
      <dgm:t>
        <a:bodyPr/>
        <a:lstStyle/>
        <a:p>
          <a:endParaRPr lang="hu-HU"/>
        </a:p>
      </dgm:t>
    </dgm:pt>
    <dgm:pt modelId="{61DA2930-9AB8-458A-8DD8-E3C190A7D311}" type="pres">
      <dgm:prSet presAssocID="{DE0B4455-AADA-40E5-B1BF-6FE007106608}" presName="root1" presStyleCnt="0"/>
      <dgm:spPr/>
    </dgm:pt>
    <dgm:pt modelId="{395DED33-3EF8-47F4-AA70-60943CBF1C8C}" type="pres">
      <dgm:prSet presAssocID="{DE0B4455-AADA-40E5-B1BF-6FE007106608}" presName="LevelOneTextNode" presStyleLbl="node0" presStyleIdx="0" presStyleCnt="1">
        <dgm:presLayoutVars>
          <dgm:chPref val="3"/>
        </dgm:presLayoutVars>
      </dgm:prSet>
      <dgm:spPr/>
      <dgm:t>
        <a:bodyPr/>
        <a:lstStyle/>
        <a:p>
          <a:endParaRPr lang="hu-HU"/>
        </a:p>
      </dgm:t>
    </dgm:pt>
    <dgm:pt modelId="{67BB8A86-5615-449E-AB91-F4BC7B9F59FF}" type="pres">
      <dgm:prSet presAssocID="{DE0B4455-AADA-40E5-B1BF-6FE007106608}" presName="level2hierChild" presStyleCnt="0"/>
      <dgm:spPr/>
    </dgm:pt>
    <dgm:pt modelId="{30F43FF0-99D7-44B0-A71E-D8A954CACA73}" type="pres">
      <dgm:prSet presAssocID="{48C7D2A5-0DC3-40D9-B382-9244450D5BF7}" presName="conn2-1" presStyleLbl="parChTrans1D2" presStyleIdx="0" presStyleCnt="4"/>
      <dgm:spPr/>
      <dgm:t>
        <a:bodyPr/>
        <a:lstStyle/>
        <a:p>
          <a:endParaRPr lang="hu-HU"/>
        </a:p>
      </dgm:t>
    </dgm:pt>
    <dgm:pt modelId="{E5086BDB-3CC2-41F1-BD16-247EDC055B4F}" type="pres">
      <dgm:prSet presAssocID="{48C7D2A5-0DC3-40D9-B382-9244450D5BF7}" presName="connTx" presStyleLbl="parChTrans1D2" presStyleIdx="0" presStyleCnt="4"/>
      <dgm:spPr/>
      <dgm:t>
        <a:bodyPr/>
        <a:lstStyle/>
        <a:p>
          <a:endParaRPr lang="hu-HU"/>
        </a:p>
      </dgm:t>
    </dgm:pt>
    <dgm:pt modelId="{78467ED5-E8AE-4DFE-9718-6D6C85C9654A}" type="pres">
      <dgm:prSet presAssocID="{88D82074-D536-4550-ACFE-F8AE3AB0B655}" presName="root2" presStyleCnt="0"/>
      <dgm:spPr/>
    </dgm:pt>
    <dgm:pt modelId="{81859642-54AE-4C79-A059-B7A5B0AA8141}" type="pres">
      <dgm:prSet presAssocID="{88D82074-D536-4550-ACFE-F8AE3AB0B655}" presName="LevelTwoTextNode" presStyleLbl="node2" presStyleIdx="0" presStyleCnt="4">
        <dgm:presLayoutVars>
          <dgm:chPref val="3"/>
        </dgm:presLayoutVars>
      </dgm:prSet>
      <dgm:spPr/>
      <dgm:t>
        <a:bodyPr/>
        <a:lstStyle/>
        <a:p>
          <a:endParaRPr lang="hu-HU"/>
        </a:p>
      </dgm:t>
    </dgm:pt>
    <dgm:pt modelId="{DC1A4611-267A-4F52-A3A3-243D7796F54E}" type="pres">
      <dgm:prSet presAssocID="{88D82074-D536-4550-ACFE-F8AE3AB0B655}" presName="level3hierChild" presStyleCnt="0"/>
      <dgm:spPr/>
    </dgm:pt>
    <dgm:pt modelId="{2D29667F-0DEE-4AFC-ADB2-6B992C79DDCF}" type="pres">
      <dgm:prSet presAssocID="{B6628ECC-E5AC-45CA-8B60-397BF004C5FD}" presName="conn2-1" presStyleLbl="parChTrans1D2" presStyleIdx="1" presStyleCnt="4"/>
      <dgm:spPr/>
      <dgm:t>
        <a:bodyPr/>
        <a:lstStyle/>
        <a:p>
          <a:endParaRPr lang="hu-HU"/>
        </a:p>
      </dgm:t>
    </dgm:pt>
    <dgm:pt modelId="{8EDD3602-7025-4BFE-ADD3-2A558CCC613F}" type="pres">
      <dgm:prSet presAssocID="{B6628ECC-E5AC-45CA-8B60-397BF004C5FD}" presName="connTx" presStyleLbl="parChTrans1D2" presStyleIdx="1" presStyleCnt="4"/>
      <dgm:spPr/>
      <dgm:t>
        <a:bodyPr/>
        <a:lstStyle/>
        <a:p>
          <a:endParaRPr lang="hu-HU"/>
        </a:p>
      </dgm:t>
    </dgm:pt>
    <dgm:pt modelId="{6B0ACF49-3A0B-48C6-8998-5CB98F510AA7}" type="pres">
      <dgm:prSet presAssocID="{1A742965-1218-49CE-86F4-7468ADFD9380}" presName="root2" presStyleCnt="0"/>
      <dgm:spPr/>
    </dgm:pt>
    <dgm:pt modelId="{58C124EA-EA55-4F35-899D-93C368BE49AB}" type="pres">
      <dgm:prSet presAssocID="{1A742965-1218-49CE-86F4-7468ADFD9380}" presName="LevelTwoTextNode" presStyleLbl="node2" presStyleIdx="1" presStyleCnt="4">
        <dgm:presLayoutVars>
          <dgm:chPref val="3"/>
        </dgm:presLayoutVars>
      </dgm:prSet>
      <dgm:spPr/>
      <dgm:t>
        <a:bodyPr/>
        <a:lstStyle/>
        <a:p>
          <a:endParaRPr lang="hu-HU"/>
        </a:p>
      </dgm:t>
    </dgm:pt>
    <dgm:pt modelId="{08556170-0569-428F-A462-F5ED0FF1C320}" type="pres">
      <dgm:prSet presAssocID="{1A742965-1218-49CE-86F4-7468ADFD9380}" presName="level3hierChild" presStyleCnt="0"/>
      <dgm:spPr/>
    </dgm:pt>
    <dgm:pt modelId="{A3149A10-FC0C-49F3-863E-EC8379CABFF6}" type="pres">
      <dgm:prSet presAssocID="{08A3D74E-F764-4BAE-885D-1CBDFA971041}" presName="conn2-1" presStyleLbl="parChTrans1D2" presStyleIdx="2" presStyleCnt="4"/>
      <dgm:spPr/>
      <dgm:t>
        <a:bodyPr/>
        <a:lstStyle/>
        <a:p>
          <a:endParaRPr lang="hu-HU"/>
        </a:p>
      </dgm:t>
    </dgm:pt>
    <dgm:pt modelId="{AF31F65B-CE96-499B-8ECC-DE0AD8A404A2}" type="pres">
      <dgm:prSet presAssocID="{08A3D74E-F764-4BAE-885D-1CBDFA971041}" presName="connTx" presStyleLbl="parChTrans1D2" presStyleIdx="2" presStyleCnt="4"/>
      <dgm:spPr/>
      <dgm:t>
        <a:bodyPr/>
        <a:lstStyle/>
        <a:p>
          <a:endParaRPr lang="hu-HU"/>
        </a:p>
      </dgm:t>
    </dgm:pt>
    <dgm:pt modelId="{237207E6-04B1-434A-9CD4-807A125F73E0}" type="pres">
      <dgm:prSet presAssocID="{07DCA4FC-FC49-4020-BBFD-EAAA6FBB181E}" presName="root2" presStyleCnt="0"/>
      <dgm:spPr/>
    </dgm:pt>
    <dgm:pt modelId="{AABFB642-FD73-4365-A7EB-10B6DE4D97F5}" type="pres">
      <dgm:prSet presAssocID="{07DCA4FC-FC49-4020-BBFD-EAAA6FBB181E}" presName="LevelTwoTextNode" presStyleLbl="node2" presStyleIdx="2" presStyleCnt="4">
        <dgm:presLayoutVars>
          <dgm:chPref val="3"/>
        </dgm:presLayoutVars>
      </dgm:prSet>
      <dgm:spPr/>
      <dgm:t>
        <a:bodyPr/>
        <a:lstStyle/>
        <a:p>
          <a:endParaRPr lang="hu-HU"/>
        </a:p>
      </dgm:t>
    </dgm:pt>
    <dgm:pt modelId="{9009EBD5-1E82-41AF-A2FE-A87062FEAEB3}" type="pres">
      <dgm:prSet presAssocID="{07DCA4FC-FC49-4020-BBFD-EAAA6FBB181E}" presName="level3hierChild" presStyleCnt="0"/>
      <dgm:spPr/>
    </dgm:pt>
    <dgm:pt modelId="{59861EDD-80EE-40C5-AACE-99E5D421EF7E}" type="pres">
      <dgm:prSet presAssocID="{B6701BAC-C31C-41E2-B582-28EEEB6971A8}" presName="conn2-1" presStyleLbl="parChTrans1D3" presStyleIdx="0" presStyleCnt="6"/>
      <dgm:spPr/>
      <dgm:t>
        <a:bodyPr/>
        <a:lstStyle/>
        <a:p>
          <a:endParaRPr lang="hu-HU"/>
        </a:p>
      </dgm:t>
    </dgm:pt>
    <dgm:pt modelId="{71F8B077-B90B-4D05-8913-336ECCAE5E50}" type="pres">
      <dgm:prSet presAssocID="{B6701BAC-C31C-41E2-B582-28EEEB6971A8}" presName="connTx" presStyleLbl="parChTrans1D3" presStyleIdx="0" presStyleCnt="6"/>
      <dgm:spPr/>
      <dgm:t>
        <a:bodyPr/>
        <a:lstStyle/>
        <a:p>
          <a:endParaRPr lang="hu-HU"/>
        </a:p>
      </dgm:t>
    </dgm:pt>
    <dgm:pt modelId="{665B9FFD-616B-4222-AD56-A905637C5566}" type="pres">
      <dgm:prSet presAssocID="{C1354CA4-9691-415F-BA6F-84DB560E1C6B}" presName="root2" presStyleCnt="0"/>
      <dgm:spPr/>
    </dgm:pt>
    <dgm:pt modelId="{B2060E1F-5CE2-4A1D-BC41-13CA6A9FB076}" type="pres">
      <dgm:prSet presAssocID="{C1354CA4-9691-415F-BA6F-84DB560E1C6B}" presName="LevelTwoTextNode" presStyleLbl="node3" presStyleIdx="0" presStyleCnt="6">
        <dgm:presLayoutVars>
          <dgm:chPref val="3"/>
        </dgm:presLayoutVars>
      </dgm:prSet>
      <dgm:spPr/>
      <dgm:t>
        <a:bodyPr/>
        <a:lstStyle/>
        <a:p>
          <a:endParaRPr lang="hu-HU"/>
        </a:p>
      </dgm:t>
    </dgm:pt>
    <dgm:pt modelId="{CC7D96BB-DFF7-4BCD-8EA1-01FE87844C0E}" type="pres">
      <dgm:prSet presAssocID="{C1354CA4-9691-415F-BA6F-84DB560E1C6B}" presName="level3hierChild" presStyleCnt="0"/>
      <dgm:spPr/>
    </dgm:pt>
    <dgm:pt modelId="{AED906BB-BB6D-458C-B342-7058B19CEE7F}" type="pres">
      <dgm:prSet presAssocID="{04FD9F1A-68FF-4271-BBCC-13138F60F906}" presName="conn2-1" presStyleLbl="parChTrans1D3" presStyleIdx="1" presStyleCnt="6"/>
      <dgm:spPr/>
      <dgm:t>
        <a:bodyPr/>
        <a:lstStyle/>
        <a:p>
          <a:endParaRPr lang="hu-HU"/>
        </a:p>
      </dgm:t>
    </dgm:pt>
    <dgm:pt modelId="{CF297031-16D2-4379-A4D6-C8D048E60EDA}" type="pres">
      <dgm:prSet presAssocID="{04FD9F1A-68FF-4271-BBCC-13138F60F906}" presName="connTx" presStyleLbl="parChTrans1D3" presStyleIdx="1" presStyleCnt="6"/>
      <dgm:spPr/>
      <dgm:t>
        <a:bodyPr/>
        <a:lstStyle/>
        <a:p>
          <a:endParaRPr lang="hu-HU"/>
        </a:p>
      </dgm:t>
    </dgm:pt>
    <dgm:pt modelId="{8B476F94-0336-4C73-8BD9-F33B6A932740}" type="pres">
      <dgm:prSet presAssocID="{2CD9DEE7-E200-49B4-B351-BCDB006C240E}" presName="root2" presStyleCnt="0"/>
      <dgm:spPr/>
    </dgm:pt>
    <dgm:pt modelId="{9DF2FA24-2181-4807-84AB-4E4FD54038EE}" type="pres">
      <dgm:prSet presAssocID="{2CD9DEE7-E200-49B4-B351-BCDB006C240E}" presName="LevelTwoTextNode" presStyleLbl="node3" presStyleIdx="1" presStyleCnt="6">
        <dgm:presLayoutVars>
          <dgm:chPref val="3"/>
        </dgm:presLayoutVars>
      </dgm:prSet>
      <dgm:spPr/>
      <dgm:t>
        <a:bodyPr/>
        <a:lstStyle/>
        <a:p>
          <a:endParaRPr lang="hu-HU"/>
        </a:p>
      </dgm:t>
    </dgm:pt>
    <dgm:pt modelId="{5857A9B8-F9D7-499F-A177-2279A506281F}" type="pres">
      <dgm:prSet presAssocID="{2CD9DEE7-E200-49B4-B351-BCDB006C240E}" presName="level3hierChild" presStyleCnt="0"/>
      <dgm:spPr/>
    </dgm:pt>
    <dgm:pt modelId="{45FD4777-8028-477E-A8D3-D8601ED7FE14}" type="pres">
      <dgm:prSet presAssocID="{A589B1DB-16D9-402D-99E8-1AA978603EAE}" presName="conn2-1" presStyleLbl="parChTrans1D3" presStyleIdx="2" presStyleCnt="6"/>
      <dgm:spPr/>
      <dgm:t>
        <a:bodyPr/>
        <a:lstStyle/>
        <a:p>
          <a:endParaRPr lang="hu-HU"/>
        </a:p>
      </dgm:t>
    </dgm:pt>
    <dgm:pt modelId="{CF4A45C7-E266-4469-B979-58820B303833}" type="pres">
      <dgm:prSet presAssocID="{A589B1DB-16D9-402D-99E8-1AA978603EAE}" presName="connTx" presStyleLbl="parChTrans1D3" presStyleIdx="2" presStyleCnt="6"/>
      <dgm:spPr/>
      <dgm:t>
        <a:bodyPr/>
        <a:lstStyle/>
        <a:p>
          <a:endParaRPr lang="hu-HU"/>
        </a:p>
      </dgm:t>
    </dgm:pt>
    <dgm:pt modelId="{7F460280-0F7B-4951-AFCC-632C1FA20245}" type="pres">
      <dgm:prSet presAssocID="{EF2B7E6F-ED08-4863-B010-2E9E12FFAF60}" presName="root2" presStyleCnt="0"/>
      <dgm:spPr/>
    </dgm:pt>
    <dgm:pt modelId="{BDA81F34-1872-48FF-BA50-6B7031C8FE64}" type="pres">
      <dgm:prSet presAssocID="{EF2B7E6F-ED08-4863-B010-2E9E12FFAF60}" presName="LevelTwoTextNode" presStyleLbl="node3" presStyleIdx="2" presStyleCnt="6">
        <dgm:presLayoutVars>
          <dgm:chPref val="3"/>
        </dgm:presLayoutVars>
      </dgm:prSet>
      <dgm:spPr/>
      <dgm:t>
        <a:bodyPr/>
        <a:lstStyle/>
        <a:p>
          <a:endParaRPr lang="hu-HU"/>
        </a:p>
      </dgm:t>
    </dgm:pt>
    <dgm:pt modelId="{28AA9B9F-7218-4226-A812-68172B7E5255}" type="pres">
      <dgm:prSet presAssocID="{EF2B7E6F-ED08-4863-B010-2E9E12FFAF60}" presName="level3hierChild" presStyleCnt="0"/>
      <dgm:spPr/>
    </dgm:pt>
    <dgm:pt modelId="{6075CC77-01E1-4D20-A27D-CD98334BF670}" type="pres">
      <dgm:prSet presAssocID="{072E6449-D212-44F7-B552-00C481E00825}" presName="conn2-1" presStyleLbl="parChTrans1D3" presStyleIdx="3" presStyleCnt="6"/>
      <dgm:spPr/>
      <dgm:t>
        <a:bodyPr/>
        <a:lstStyle/>
        <a:p>
          <a:endParaRPr lang="hu-HU"/>
        </a:p>
      </dgm:t>
    </dgm:pt>
    <dgm:pt modelId="{178BBFBC-4DD6-43C8-BADA-E99A921A5BD0}" type="pres">
      <dgm:prSet presAssocID="{072E6449-D212-44F7-B552-00C481E00825}" presName="connTx" presStyleLbl="parChTrans1D3" presStyleIdx="3" presStyleCnt="6"/>
      <dgm:spPr/>
      <dgm:t>
        <a:bodyPr/>
        <a:lstStyle/>
        <a:p>
          <a:endParaRPr lang="hu-HU"/>
        </a:p>
      </dgm:t>
    </dgm:pt>
    <dgm:pt modelId="{357C9B29-463F-4E86-B146-4CEB376E49DB}" type="pres">
      <dgm:prSet presAssocID="{094D5967-4E04-49E1-9092-2DD2469A04A3}" presName="root2" presStyleCnt="0"/>
      <dgm:spPr/>
    </dgm:pt>
    <dgm:pt modelId="{EF48A7EE-D470-4F5C-9737-2649ED5621EF}" type="pres">
      <dgm:prSet presAssocID="{094D5967-4E04-49E1-9092-2DD2469A04A3}" presName="LevelTwoTextNode" presStyleLbl="node3" presStyleIdx="3" presStyleCnt="6">
        <dgm:presLayoutVars>
          <dgm:chPref val="3"/>
        </dgm:presLayoutVars>
      </dgm:prSet>
      <dgm:spPr/>
      <dgm:t>
        <a:bodyPr/>
        <a:lstStyle/>
        <a:p>
          <a:endParaRPr lang="hu-HU"/>
        </a:p>
      </dgm:t>
    </dgm:pt>
    <dgm:pt modelId="{81FA96B5-030E-4301-8F6E-EFF440C13631}" type="pres">
      <dgm:prSet presAssocID="{094D5967-4E04-49E1-9092-2DD2469A04A3}" presName="level3hierChild" presStyleCnt="0"/>
      <dgm:spPr/>
    </dgm:pt>
    <dgm:pt modelId="{382D5B77-6F27-4E7F-B4D9-095D786F4209}" type="pres">
      <dgm:prSet presAssocID="{F03370B2-1403-46EC-8269-4256EB534210}" presName="conn2-1" presStyleLbl="parChTrans1D3" presStyleIdx="4" presStyleCnt="6"/>
      <dgm:spPr/>
      <dgm:t>
        <a:bodyPr/>
        <a:lstStyle/>
        <a:p>
          <a:endParaRPr lang="hu-HU"/>
        </a:p>
      </dgm:t>
    </dgm:pt>
    <dgm:pt modelId="{740C89C9-D222-4845-A166-EFF3F017CC70}" type="pres">
      <dgm:prSet presAssocID="{F03370B2-1403-46EC-8269-4256EB534210}" presName="connTx" presStyleLbl="parChTrans1D3" presStyleIdx="4" presStyleCnt="6"/>
      <dgm:spPr/>
      <dgm:t>
        <a:bodyPr/>
        <a:lstStyle/>
        <a:p>
          <a:endParaRPr lang="hu-HU"/>
        </a:p>
      </dgm:t>
    </dgm:pt>
    <dgm:pt modelId="{162F7A4B-9770-49E2-932D-2FB8FD5DFA59}" type="pres">
      <dgm:prSet presAssocID="{49708D73-06FA-47AE-AADB-9FD3F77E1382}" presName="root2" presStyleCnt="0"/>
      <dgm:spPr/>
    </dgm:pt>
    <dgm:pt modelId="{9672AD0F-BCAA-4160-B192-A6422BE1B881}" type="pres">
      <dgm:prSet presAssocID="{49708D73-06FA-47AE-AADB-9FD3F77E1382}" presName="LevelTwoTextNode" presStyleLbl="node3" presStyleIdx="4" presStyleCnt="6">
        <dgm:presLayoutVars>
          <dgm:chPref val="3"/>
        </dgm:presLayoutVars>
      </dgm:prSet>
      <dgm:spPr/>
      <dgm:t>
        <a:bodyPr/>
        <a:lstStyle/>
        <a:p>
          <a:endParaRPr lang="hu-HU"/>
        </a:p>
      </dgm:t>
    </dgm:pt>
    <dgm:pt modelId="{02A9E093-E988-4F68-8D5E-9CD9FFD15251}" type="pres">
      <dgm:prSet presAssocID="{49708D73-06FA-47AE-AADB-9FD3F77E1382}" presName="level3hierChild" presStyleCnt="0"/>
      <dgm:spPr/>
    </dgm:pt>
    <dgm:pt modelId="{FB7DA661-EBFC-4775-AAE6-5E76B26AFA55}" type="pres">
      <dgm:prSet presAssocID="{24FEBBBF-4DBD-4121-B859-9907E8B7D657}" presName="conn2-1" presStyleLbl="parChTrans1D3" presStyleIdx="5" presStyleCnt="6"/>
      <dgm:spPr/>
      <dgm:t>
        <a:bodyPr/>
        <a:lstStyle/>
        <a:p>
          <a:endParaRPr lang="hu-HU"/>
        </a:p>
      </dgm:t>
    </dgm:pt>
    <dgm:pt modelId="{5CA77C31-0659-4ABA-9CDB-12C0980DAD59}" type="pres">
      <dgm:prSet presAssocID="{24FEBBBF-4DBD-4121-B859-9907E8B7D657}" presName="connTx" presStyleLbl="parChTrans1D3" presStyleIdx="5" presStyleCnt="6"/>
      <dgm:spPr/>
      <dgm:t>
        <a:bodyPr/>
        <a:lstStyle/>
        <a:p>
          <a:endParaRPr lang="hu-HU"/>
        </a:p>
      </dgm:t>
    </dgm:pt>
    <dgm:pt modelId="{C721A94A-319E-428E-8509-E70EFFA5B7D6}" type="pres">
      <dgm:prSet presAssocID="{F9D6FC70-D9D5-40CF-B5E3-90F7AB2833E9}" presName="root2" presStyleCnt="0"/>
      <dgm:spPr/>
    </dgm:pt>
    <dgm:pt modelId="{2A4420C8-306B-4A6B-8C23-84AE79509F99}" type="pres">
      <dgm:prSet presAssocID="{F9D6FC70-D9D5-40CF-B5E3-90F7AB2833E9}" presName="LevelTwoTextNode" presStyleLbl="node3" presStyleIdx="5" presStyleCnt="6">
        <dgm:presLayoutVars>
          <dgm:chPref val="3"/>
        </dgm:presLayoutVars>
      </dgm:prSet>
      <dgm:spPr/>
      <dgm:t>
        <a:bodyPr/>
        <a:lstStyle/>
        <a:p>
          <a:endParaRPr lang="hu-HU"/>
        </a:p>
      </dgm:t>
    </dgm:pt>
    <dgm:pt modelId="{D976855D-5714-4FC5-85CD-1B7DF2F704D8}" type="pres">
      <dgm:prSet presAssocID="{F9D6FC70-D9D5-40CF-B5E3-90F7AB2833E9}" presName="level3hierChild" presStyleCnt="0"/>
      <dgm:spPr/>
    </dgm:pt>
    <dgm:pt modelId="{7298D802-21AC-4033-B64D-B65FB28415F7}" type="pres">
      <dgm:prSet presAssocID="{03986EDA-648C-4DC9-8121-9844EA11B6C8}" presName="conn2-1" presStyleLbl="parChTrans1D2" presStyleIdx="3" presStyleCnt="4"/>
      <dgm:spPr/>
      <dgm:t>
        <a:bodyPr/>
        <a:lstStyle/>
        <a:p>
          <a:endParaRPr lang="hu-HU"/>
        </a:p>
      </dgm:t>
    </dgm:pt>
    <dgm:pt modelId="{932CAF0B-5A81-4B58-BFF0-C96B3BF809B4}" type="pres">
      <dgm:prSet presAssocID="{03986EDA-648C-4DC9-8121-9844EA11B6C8}" presName="connTx" presStyleLbl="parChTrans1D2" presStyleIdx="3" presStyleCnt="4"/>
      <dgm:spPr/>
      <dgm:t>
        <a:bodyPr/>
        <a:lstStyle/>
        <a:p>
          <a:endParaRPr lang="hu-HU"/>
        </a:p>
      </dgm:t>
    </dgm:pt>
    <dgm:pt modelId="{BF8DF433-C668-4DB7-995E-73839826233A}" type="pres">
      <dgm:prSet presAssocID="{C2C747E2-8E27-4F6C-99C1-1683B7B55D30}" presName="root2" presStyleCnt="0"/>
      <dgm:spPr/>
    </dgm:pt>
    <dgm:pt modelId="{414447BD-7C49-45A3-9510-CA13190D497F}" type="pres">
      <dgm:prSet presAssocID="{C2C747E2-8E27-4F6C-99C1-1683B7B55D30}" presName="LevelTwoTextNode" presStyleLbl="node2" presStyleIdx="3" presStyleCnt="4">
        <dgm:presLayoutVars>
          <dgm:chPref val="3"/>
        </dgm:presLayoutVars>
      </dgm:prSet>
      <dgm:spPr/>
      <dgm:t>
        <a:bodyPr/>
        <a:lstStyle/>
        <a:p>
          <a:endParaRPr lang="hu-HU"/>
        </a:p>
      </dgm:t>
    </dgm:pt>
    <dgm:pt modelId="{50F1F04B-F0F2-4FC9-89BD-6E25474BF16A}" type="pres">
      <dgm:prSet presAssocID="{C2C747E2-8E27-4F6C-99C1-1683B7B55D30}" presName="level3hierChild" presStyleCnt="0"/>
      <dgm:spPr/>
    </dgm:pt>
  </dgm:ptLst>
  <dgm:cxnLst>
    <dgm:cxn modelId="{C63FBB42-2DAD-4AB0-96FE-C6822ADA8C8E}" type="presOf" srcId="{072E6449-D212-44F7-B552-00C481E00825}" destId="{178BBFBC-4DD6-43C8-BADA-E99A921A5BD0}" srcOrd="1" destOrd="0" presId="urn:microsoft.com/office/officeart/2005/8/layout/hierarchy2"/>
    <dgm:cxn modelId="{E55A5842-8A08-4101-961F-12EF4656A1FD}" srcId="{EF161FFB-620F-470A-AAB8-D321EB3F690D}" destId="{DE0B4455-AADA-40E5-B1BF-6FE007106608}" srcOrd="0" destOrd="0" parTransId="{E75025AF-7A98-4EF5-B0C6-1B152757DD0B}" sibTransId="{EFB4DD2C-7A51-4E4D-B2D6-14B8B7DF443C}"/>
    <dgm:cxn modelId="{3C0E108C-8235-4ABA-A981-721B552FA720}" type="presOf" srcId="{C2C747E2-8E27-4F6C-99C1-1683B7B55D30}" destId="{414447BD-7C49-45A3-9510-CA13190D497F}" srcOrd="0" destOrd="0" presId="urn:microsoft.com/office/officeart/2005/8/layout/hierarchy2"/>
    <dgm:cxn modelId="{CDEECE1C-0B17-4E3F-AEB7-1C67D09F58E1}" type="presOf" srcId="{072E6449-D212-44F7-B552-00C481E00825}" destId="{6075CC77-01E1-4D20-A27D-CD98334BF670}" srcOrd="0" destOrd="0" presId="urn:microsoft.com/office/officeart/2005/8/layout/hierarchy2"/>
    <dgm:cxn modelId="{279918F5-686C-4479-85E0-732EB639D567}" srcId="{DE0B4455-AADA-40E5-B1BF-6FE007106608}" destId="{1A742965-1218-49CE-86F4-7468ADFD9380}" srcOrd="1" destOrd="0" parTransId="{B6628ECC-E5AC-45CA-8B60-397BF004C5FD}" sibTransId="{9330209F-F347-4D23-BCA0-FA437B58C9D5}"/>
    <dgm:cxn modelId="{52B5D8B0-C283-404D-993A-D5D48E0DA522}" type="presOf" srcId="{04FD9F1A-68FF-4271-BBCC-13138F60F906}" destId="{CF297031-16D2-4379-A4D6-C8D048E60EDA}" srcOrd="1" destOrd="0" presId="urn:microsoft.com/office/officeart/2005/8/layout/hierarchy2"/>
    <dgm:cxn modelId="{9BAB4448-F18E-4403-B16B-1D5FC4B702F2}" type="presOf" srcId="{EF2B7E6F-ED08-4863-B010-2E9E12FFAF60}" destId="{BDA81F34-1872-48FF-BA50-6B7031C8FE64}" srcOrd="0" destOrd="0" presId="urn:microsoft.com/office/officeart/2005/8/layout/hierarchy2"/>
    <dgm:cxn modelId="{F9E377C0-0609-401C-8D7C-0312ECD7D9C7}" type="presOf" srcId="{08A3D74E-F764-4BAE-885D-1CBDFA971041}" destId="{A3149A10-FC0C-49F3-863E-EC8379CABFF6}" srcOrd="0" destOrd="0" presId="urn:microsoft.com/office/officeart/2005/8/layout/hierarchy2"/>
    <dgm:cxn modelId="{30642956-4432-4523-8E88-83D9D2548C92}" type="presOf" srcId="{08A3D74E-F764-4BAE-885D-1CBDFA971041}" destId="{AF31F65B-CE96-499B-8ECC-DE0AD8A404A2}" srcOrd="1" destOrd="0" presId="urn:microsoft.com/office/officeart/2005/8/layout/hierarchy2"/>
    <dgm:cxn modelId="{F5DAFEC5-1303-422E-9244-CBA221F53F5F}" type="presOf" srcId="{48C7D2A5-0DC3-40D9-B382-9244450D5BF7}" destId="{E5086BDB-3CC2-41F1-BD16-247EDC055B4F}" srcOrd="1" destOrd="0" presId="urn:microsoft.com/office/officeart/2005/8/layout/hierarchy2"/>
    <dgm:cxn modelId="{E1826638-F891-45B0-854C-21EEB61B5638}" srcId="{07DCA4FC-FC49-4020-BBFD-EAAA6FBB181E}" destId="{F9D6FC70-D9D5-40CF-B5E3-90F7AB2833E9}" srcOrd="5" destOrd="0" parTransId="{24FEBBBF-4DBD-4121-B859-9907E8B7D657}" sibTransId="{DD6F4BD8-2AE1-4C3E-961B-5F0F0C44532A}"/>
    <dgm:cxn modelId="{37218CBC-D3C9-4997-8AD1-3D8AA60ED01C}" type="presOf" srcId="{B6701BAC-C31C-41E2-B582-28EEEB6971A8}" destId="{71F8B077-B90B-4D05-8913-336ECCAE5E50}" srcOrd="1" destOrd="0" presId="urn:microsoft.com/office/officeart/2005/8/layout/hierarchy2"/>
    <dgm:cxn modelId="{649E4B07-23A5-4952-9F7C-2BBE8A505832}" type="presOf" srcId="{24FEBBBF-4DBD-4121-B859-9907E8B7D657}" destId="{FB7DA661-EBFC-4775-AAE6-5E76B26AFA55}" srcOrd="0" destOrd="0" presId="urn:microsoft.com/office/officeart/2005/8/layout/hierarchy2"/>
    <dgm:cxn modelId="{B316AF9D-7DDB-4452-A3CD-2A1DEE1A099C}" type="presOf" srcId="{EF161FFB-620F-470A-AAB8-D321EB3F690D}" destId="{9E3CE708-D36E-4C82-8F45-D46057DF5322}" srcOrd="0" destOrd="0" presId="urn:microsoft.com/office/officeart/2005/8/layout/hierarchy2"/>
    <dgm:cxn modelId="{C8F581A3-EBC1-428F-91BB-25D1421E3712}" type="presOf" srcId="{1A742965-1218-49CE-86F4-7468ADFD9380}" destId="{58C124EA-EA55-4F35-899D-93C368BE49AB}" srcOrd="0" destOrd="0" presId="urn:microsoft.com/office/officeart/2005/8/layout/hierarchy2"/>
    <dgm:cxn modelId="{DC1D39A8-238E-4441-A0F7-096A37DA9FEF}" type="presOf" srcId="{88D82074-D536-4550-ACFE-F8AE3AB0B655}" destId="{81859642-54AE-4C79-A059-B7A5B0AA8141}" srcOrd="0" destOrd="0" presId="urn:microsoft.com/office/officeart/2005/8/layout/hierarchy2"/>
    <dgm:cxn modelId="{0E30157E-925D-4BDC-9A38-55762A0C6401}" srcId="{07DCA4FC-FC49-4020-BBFD-EAAA6FBB181E}" destId="{49708D73-06FA-47AE-AADB-9FD3F77E1382}" srcOrd="4" destOrd="0" parTransId="{F03370B2-1403-46EC-8269-4256EB534210}" sibTransId="{669EB58B-AF89-4A8E-99F0-FD1EC9FAFE53}"/>
    <dgm:cxn modelId="{CCF2BE9A-E78F-4869-9052-10C17A65397A}" type="presOf" srcId="{F9D6FC70-D9D5-40CF-B5E3-90F7AB2833E9}" destId="{2A4420C8-306B-4A6B-8C23-84AE79509F99}" srcOrd="0" destOrd="0" presId="urn:microsoft.com/office/officeart/2005/8/layout/hierarchy2"/>
    <dgm:cxn modelId="{0854F44A-4346-482C-9A5E-3A9CC4C39A16}" type="presOf" srcId="{094D5967-4E04-49E1-9092-2DD2469A04A3}" destId="{EF48A7EE-D470-4F5C-9737-2649ED5621EF}" srcOrd="0" destOrd="0" presId="urn:microsoft.com/office/officeart/2005/8/layout/hierarchy2"/>
    <dgm:cxn modelId="{82B7A747-2E0A-4856-B8A2-2E479D3841D1}" type="presOf" srcId="{A589B1DB-16D9-402D-99E8-1AA978603EAE}" destId="{CF4A45C7-E266-4469-B979-58820B303833}" srcOrd="1" destOrd="0" presId="urn:microsoft.com/office/officeart/2005/8/layout/hierarchy2"/>
    <dgm:cxn modelId="{328252B4-5422-4699-8D49-24C7A4495B15}" type="presOf" srcId="{B6628ECC-E5AC-45CA-8B60-397BF004C5FD}" destId="{2D29667F-0DEE-4AFC-ADB2-6B992C79DDCF}" srcOrd="0" destOrd="0" presId="urn:microsoft.com/office/officeart/2005/8/layout/hierarchy2"/>
    <dgm:cxn modelId="{9CFF2E9F-9AFE-4E10-9713-89E746851B7B}" type="presOf" srcId="{07DCA4FC-FC49-4020-BBFD-EAAA6FBB181E}" destId="{AABFB642-FD73-4365-A7EB-10B6DE4D97F5}" srcOrd="0" destOrd="0" presId="urn:microsoft.com/office/officeart/2005/8/layout/hierarchy2"/>
    <dgm:cxn modelId="{561D961E-2B7E-4EC4-B370-4EFE04A1A20E}" type="presOf" srcId="{24FEBBBF-4DBD-4121-B859-9907E8B7D657}" destId="{5CA77C31-0659-4ABA-9CDB-12C0980DAD59}" srcOrd="1" destOrd="0" presId="urn:microsoft.com/office/officeart/2005/8/layout/hierarchy2"/>
    <dgm:cxn modelId="{9DF6D208-E748-4FAF-9589-39A6EFEBE927}" srcId="{07DCA4FC-FC49-4020-BBFD-EAAA6FBB181E}" destId="{2CD9DEE7-E200-49B4-B351-BCDB006C240E}" srcOrd="1" destOrd="0" parTransId="{04FD9F1A-68FF-4271-BBCC-13138F60F906}" sibTransId="{FD097B12-F9FD-4B2E-929C-F26F9834F073}"/>
    <dgm:cxn modelId="{AB6C2EBD-1C8E-476D-B0C7-2737A789719D}" srcId="{07DCA4FC-FC49-4020-BBFD-EAAA6FBB181E}" destId="{C1354CA4-9691-415F-BA6F-84DB560E1C6B}" srcOrd="0" destOrd="0" parTransId="{B6701BAC-C31C-41E2-B582-28EEEB6971A8}" sibTransId="{66010CF8-2A9F-4D58-B5A7-BCB860C60AB9}"/>
    <dgm:cxn modelId="{BFA02B33-D87B-4E2F-AA4F-CFE1B00F8341}" type="presOf" srcId="{DE0B4455-AADA-40E5-B1BF-6FE007106608}" destId="{395DED33-3EF8-47F4-AA70-60943CBF1C8C}" srcOrd="0" destOrd="0" presId="urn:microsoft.com/office/officeart/2005/8/layout/hierarchy2"/>
    <dgm:cxn modelId="{D61AEA12-CC88-4ACD-A41E-79FA48B3C572}" type="presOf" srcId="{03986EDA-648C-4DC9-8121-9844EA11B6C8}" destId="{932CAF0B-5A81-4B58-BFF0-C96B3BF809B4}" srcOrd="1" destOrd="0" presId="urn:microsoft.com/office/officeart/2005/8/layout/hierarchy2"/>
    <dgm:cxn modelId="{83DB3F48-4134-4969-A1E7-D50D429436DD}" srcId="{DE0B4455-AADA-40E5-B1BF-6FE007106608}" destId="{C2C747E2-8E27-4F6C-99C1-1683B7B55D30}" srcOrd="3" destOrd="0" parTransId="{03986EDA-648C-4DC9-8121-9844EA11B6C8}" sibTransId="{20176EDF-A4F7-4D14-A0B0-EC2E6B1DF62A}"/>
    <dgm:cxn modelId="{944D1FF5-65E4-4191-8FB6-23D910B818EC}" type="presOf" srcId="{C1354CA4-9691-415F-BA6F-84DB560E1C6B}" destId="{B2060E1F-5CE2-4A1D-BC41-13CA6A9FB076}" srcOrd="0" destOrd="0" presId="urn:microsoft.com/office/officeart/2005/8/layout/hierarchy2"/>
    <dgm:cxn modelId="{9B436482-ABD2-410B-981B-675EAA233C8C}" srcId="{DE0B4455-AADA-40E5-B1BF-6FE007106608}" destId="{07DCA4FC-FC49-4020-BBFD-EAAA6FBB181E}" srcOrd="2" destOrd="0" parTransId="{08A3D74E-F764-4BAE-885D-1CBDFA971041}" sibTransId="{D7E26799-9556-4A38-B52F-A1D522B36E61}"/>
    <dgm:cxn modelId="{363F5327-EEB6-4044-B867-AD0A19A66793}" type="presOf" srcId="{49708D73-06FA-47AE-AADB-9FD3F77E1382}" destId="{9672AD0F-BCAA-4160-B192-A6422BE1B881}" srcOrd="0" destOrd="0" presId="urn:microsoft.com/office/officeart/2005/8/layout/hierarchy2"/>
    <dgm:cxn modelId="{06DDD662-2D36-4C10-9EC0-7CB679987044}" type="presOf" srcId="{F03370B2-1403-46EC-8269-4256EB534210}" destId="{382D5B77-6F27-4E7F-B4D9-095D786F4209}" srcOrd="0" destOrd="0" presId="urn:microsoft.com/office/officeart/2005/8/layout/hierarchy2"/>
    <dgm:cxn modelId="{9ACF4A59-8F48-45F9-9747-B3393D4ECEAE}" type="presOf" srcId="{48C7D2A5-0DC3-40D9-B382-9244450D5BF7}" destId="{30F43FF0-99D7-44B0-A71E-D8A954CACA73}" srcOrd="0" destOrd="0" presId="urn:microsoft.com/office/officeart/2005/8/layout/hierarchy2"/>
    <dgm:cxn modelId="{2CD0EE82-02D0-4934-8268-358049BFC8E6}" type="presOf" srcId="{B6701BAC-C31C-41E2-B582-28EEEB6971A8}" destId="{59861EDD-80EE-40C5-AACE-99E5D421EF7E}" srcOrd="0" destOrd="0" presId="urn:microsoft.com/office/officeart/2005/8/layout/hierarchy2"/>
    <dgm:cxn modelId="{3C6E4D9E-C859-4914-B327-74CE47C6FAFB}" type="presOf" srcId="{2CD9DEE7-E200-49B4-B351-BCDB006C240E}" destId="{9DF2FA24-2181-4807-84AB-4E4FD54038EE}" srcOrd="0" destOrd="0" presId="urn:microsoft.com/office/officeart/2005/8/layout/hierarchy2"/>
    <dgm:cxn modelId="{75664003-48CC-4BED-B95B-8161555BFBAD}" srcId="{07DCA4FC-FC49-4020-BBFD-EAAA6FBB181E}" destId="{094D5967-4E04-49E1-9092-2DD2469A04A3}" srcOrd="3" destOrd="0" parTransId="{072E6449-D212-44F7-B552-00C481E00825}" sibTransId="{D1A6F14C-93BB-45D6-ACDF-D1CF8BBE543D}"/>
    <dgm:cxn modelId="{B753F35D-D13C-44F6-9772-DE6BA0CE243B}" srcId="{DE0B4455-AADA-40E5-B1BF-6FE007106608}" destId="{88D82074-D536-4550-ACFE-F8AE3AB0B655}" srcOrd="0" destOrd="0" parTransId="{48C7D2A5-0DC3-40D9-B382-9244450D5BF7}" sibTransId="{C093064F-BFDE-4716-9546-19CC8677702E}"/>
    <dgm:cxn modelId="{86FBBABE-3821-4D62-A452-E22C3F23AF8B}" type="presOf" srcId="{04FD9F1A-68FF-4271-BBCC-13138F60F906}" destId="{AED906BB-BB6D-458C-B342-7058B19CEE7F}" srcOrd="0" destOrd="0" presId="urn:microsoft.com/office/officeart/2005/8/layout/hierarchy2"/>
    <dgm:cxn modelId="{4F60D0DF-66B3-4235-A2A0-50260C7022F8}" type="presOf" srcId="{03986EDA-648C-4DC9-8121-9844EA11B6C8}" destId="{7298D802-21AC-4033-B64D-B65FB28415F7}" srcOrd="0" destOrd="0" presId="urn:microsoft.com/office/officeart/2005/8/layout/hierarchy2"/>
    <dgm:cxn modelId="{7FC6E1E1-DF9D-4CCD-9CE4-1F28A55FD92B}" srcId="{07DCA4FC-FC49-4020-BBFD-EAAA6FBB181E}" destId="{EF2B7E6F-ED08-4863-B010-2E9E12FFAF60}" srcOrd="2" destOrd="0" parTransId="{A589B1DB-16D9-402D-99E8-1AA978603EAE}" sibTransId="{D67F525D-E8F3-4E10-BC18-B4D1DA26AB0D}"/>
    <dgm:cxn modelId="{A540B8B9-470D-4592-B68E-26F590921FE1}" type="presOf" srcId="{F03370B2-1403-46EC-8269-4256EB534210}" destId="{740C89C9-D222-4845-A166-EFF3F017CC70}" srcOrd="1" destOrd="0" presId="urn:microsoft.com/office/officeart/2005/8/layout/hierarchy2"/>
    <dgm:cxn modelId="{C83055D9-F683-43C4-AED4-FD45032AA837}" type="presOf" srcId="{B6628ECC-E5AC-45CA-8B60-397BF004C5FD}" destId="{8EDD3602-7025-4BFE-ADD3-2A558CCC613F}" srcOrd="1" destOrd="0" presId="urn:microsoft.com/office/officeart/2005/8/layout/hierarchy2"/>
    <dgm:cxn modelId="{24C43AE8-0B52-448C-A87E-F7F8C89B56C8}" type="presOf" srcId="{A589B1DB-16D9-402D-99E8-1AA978603EAE}" destId="{45FD4777-8028-477E-A8D3-D8601ED7FE14}" srcOrd="0" destOrd="0" presId="urn:microsoft.com/office/officeart/2005/8/layout/hierarchy2"/>
    <dgm:cxn modelId="{3D846809-93E6-43B4-B04D-05A04F088BF2}" type="presParOf" srcId="{9E3CE708-D36E-4C82-8F45-D46057DF5322}" destId="{61DA2930-9AB8-458A-8DD8-E3C190A7D311}" srcOrd="0" destOrd="0" presId="urn:microsoft.com/office/officeart/2005/8/layout/hierarchy2"/>
    <dgm:cxn modelId="{830D0F75-053F-4532-950B-1B272F660055}" type="presParOf" srcId="{61DA2930-9AB8-458A-8DD8-E3C190A7D311}" destId="{395DED33-3EF8-47F4-AA70-60943CBF1C8C}" srcOrd="0" destOrd="0" presId="urn:microsoft.com/office/officeart/2005/8/layout/hierarchy2"/>
    <dgm:cxn modelId="{8B8A27E4-FC49-40CB-8313-C362A70D91C4}" type="presParOf" srcId="{61DA2930-9AB8-458A-8DD8-E3C190A7D311}" destId="{67BB8A86-5615-449E-AB91-F4BC7B9F59FF}" srcOrd="1" destOrd="0" presId="urn:microsoft.com/office/officeart/2005/8/layout/hierarchy2"/>
    <dgm:cxn modelId="{EE437B1A-BE40-4468-8612-DC989223AC57}" type="presParOf" srcId="{67BB8A86-5615-449E-AB91-F4BC7B9F59FF}" destId="{30F43FF0-99D7-44B0-A71E-D8A954CACA73}" srcOrd="0" destOrd="0" presId="urn:microsoft.com/office/officeart/2005/8/layout/hierarchy2"/>
    <dgm:cxn modelId="{ABD65C98-D961-433A-9177-6D683492E8F2}" type="presParOf" srcId="{30F43FF0-99D7-44B0-A71E-D8A954CACA73}" destId="{E5086BDB-3CC2-41F1-BD16-247EDC055B4F}" srcOrd="0" destOrd="0" presId="urn:microsoft.com/office/officeart/2005/8/layout/hierarchy2"/>
    <dgm:cxn modelId="{19BC8AE3-D015-4932-AFC0-7DDD357DA7B2}" type="presParOf" srcId="{67BB8A86-5615-449E-AB91-F4BC7B9F59FF}" destId="{78467ED5-E8AE-4DFE-9718-6D6C85C9654A}" srcOrd="1" destOrd="0" presId="urn:microsoft.com/office/officeart/2005/8/layout/hierarchy2"/>
    <dgm:cxn modelId="{3BA0C5F6-115D-4B65-B785-362698424F3E}" type="presParOf" srcId="{78467ED5-E8AE-4DFE-9718-6D6C85C9654A}" destId="{81859642-54AE-4C79-A059-B7A5B0AA8141}" srcOrd="0" destOrd="0" presId="urn:microsoft.com/office/officeart/2005/8/layout/hierarchy2"/>
    <dgm:cxn modelId="{87FB9153-20C7-43BC-A790-DF98E6035EA6}" type="presParOf" srcId="{78467ED5-E8AE-4DFE-9718-6D6C85C9654A}" destId="{DC1A4611-267A-4F52-A3A3-243D7796F54E}" srcOrd="1" destOrd="0" presId="urn:microsoft.com/office/officeart/2005/8/layout/hierarchy2"/>
    <dgm:cxn modelId="{541F4A3B-38AD-4616-9246-46B616AC8CC3}" type="presParOf" srcId="{67BB8A86-5615-449E-AB91-F4BC7B9F59FF}" destId="{2D29667F-0DEE-4AFC-ADB2-6B992C79DDCF}" srcOrd="2" destOrd="0" presId="urn:microsoft.com/office/officeart/2005/8/layout/hierarchy2"/>
    <dgm:cxn modelId="{002BEE67-67C6-4817-B23B-889148DD03F9}" type="presParOf" srcId="{2D29667F-0DEE-4AFC-ADB2-6B992C79DDCF}" destId="{8EDD3602-7025-4BFE-ADD3-2A558CCC613F}" srcOrd="0" destOrd="0" presId="urn:microsoft.com/office/officeart/2005/8/layout/hierarchy2"/>
    <dgm:cxn modelId="{6D9E9751-4460-47FF-A587-8AAD72ED8C21}" type="presParOf" srcId="{67BB8A86-5615-449E-AB91-F4BC7B9F59FF}" destId="{6B0ACF49-3A0B-48C6-8998-5CB98F510AA7}" srcOrd="3" destOrd="0" presId="urn:microsoft.com/office/officeart/2005/8/layout/hierarchy2"/>
    <dgm:cxn modelId="{F8AAAF0F-6086-4142-8BA9-083AEAB7D577}" type="presParOf" srcId="{6B0ACF49-3A0B-48C6-8998-5CB98F510AA7}" destId="{58C124EA-EA55-4F35-899D-93C368BE49AB}" srcOrd="0" destOrd="0" presId="urn:microsoft.com/office/officeart/2005/8/layout/hierarchy2"/>
    <dgm:cxn modelId="{5848836A-424D-4ABE-BF31-255C90E08C6C}" type="presParOf" srcId="{6B0ACF49-3A0B-48C6-8998-5CB98F510AA7}" destId="{08556170-0569-428F-A462-F5ED0FF1C320}" srcOrd="1" destOrd="0" presId="urn:microsoft.com/office/officeart/2005/8/layout/hierarchy2"/>
    <dgm:cxn modelId="{27CC4ACB-34BA-488D-942C-9BEF4B1B7154}" type="presParOf" srcId="{67BB8A86-5615-449E-AB91-F4BC7B9F59FF}" destId="{A3149A10-FC0C-49F3-863E-EC8379CABFF6}" srcOrd="4" destOrd="0" presId="urn:microsoft.com/office/officeart/2005/8/layout/hierarchy2"/>
    <dgm:cxn modelId="{4C3787D0-241B-49D4-8793-58F02DB9267D}" type="presParOf" srcId="{A3149A10-FC0C-49F3-863E-EC8379CABFF6}" destId="{AF31F65B-CE96-499B-8ECC-DE0AD8A404A2}" srcOrd="0" destOrd="0" presId="urn:microsoft.com/office/officeart/2005/8/layout/hierarchy2"/>
    <dgm:cxn modelId="{1741847C-7806-41DD-96B2-3BDFE1BD4FDA}" type="presParOf" srcId="{67BB8A86-5615-449E-AB91-F4BC7B9F59FF}" destId="{237207E6-04B1-434A-9CD4-807A125F73E0}" srcOrd="5" destOrd="0" presId="urn:microsoft.com/office/officeart/2005/8/layout/hierarchy2"/>
    <dgm:cxn modelId="{27AC98DB-35FE-441E-BAC2-F82CAFEC973F}" type="presParOf" srcId="{237207E6-04B1-434A-9CD4-807A125F73E0}" destId="{AABFB642-FD73-4365-A7EB-10B6DE4D97F5}" srcOrd="0" destOrd="0" presId="urn:microsoft.com/office/officeart/2005/8/layout/hierarchy2"/>
    <dgm:cxn modelId="{A02BC0E8-09C4-4AB6-A85E-F37D6AED2AB1}" type="presParOf" srcId="{237207E6-04B1-434A-9CD4-807A125F73E0}" destId="{9009EBD5-1E82-41AF-A2FE-A87062FEAEB3}" srcOrd="1" destOrd="0" presId="urn:microsoft.com/office/officeart/2005/8/layout/hierarchy2"/>
    <dgm:cxn modelId="{E1949976-8927-40F4-AE22-C79344E63504}" type="presParOf" srcId="{9009EBD5-1E82-41AF-A2FE-A87062FEAEB3}" destId="{59861EDD-80EE-40C5-AACE-99E5D421EF7E}" srcOrd="0" destOrd="0" presId="urn:microsoft.com/office/officeart/2005/8/layout/hierarchy2"/>
    <dgm:cxn modelId="{A99ABB76-0481-4121-A2CE-0CA16B149AB8}" type="presParOf" srcId="{59861EDD-80EE-40C5-AACE-99E5D421EF7E}" destId="{71F8B077-B90B-4D05-8913-336ECCAE5E50}" srcOrd="0" destOrd="0" presId="urn:microsoft.com/office/officeart/2005/8/layout/hierarchy2"/>
    <dgm:cxn modelId="{219211D2-3861-4443-B49E-8606B8CA99E5}" type="presParOf" srcId="{9009EBD5-1E82-41AF-A2FE-A87062FEAEB3}" destId="{665B9FFD-616B-4222-AD56-A905637C5566}" srcOrd="1" destOrd="0" presId="urn:microsoft.com/office/officeart/2005/8/layout/hierarchy2"/>
    <dgm:cxn modelId="{9E89881E-80E7-43CE-8C37-238C97773FDE}" type="presParOf" srcId="{665B9FFD-616B-4222-AD56-A905637C5566}" destId="{B2060E1F-5CE2-4A1D-BC41-13CA6A9FB076}" srcOrd="0" destOrd="0" presId="urn:microsoft.com/office/officeart/2005/8/layout/hierarchy2"/>
    <dgm:cxn modelId="{F5A612A7-21E5-4F8B-8414-D84CBC444AEE}" type="presParOf" srcId="{665B9FFD-616B-4222-AD56-A905637C5566}" destId="{CC7D96BB-DFF7-4BCD-8EA1-01FE87844C0E}" srcOrd="1" destOrd="0" presId="urn:microsoft.com/office/officeart/2005/8/layout/hierarchy2"/>
    <dgm:cxn modelId="{4A423AA6-0F3D-42C7-80A0-E271248560A0}" type="presParOf" srcId="{9009EBD5-1E82-41AF-A2FE-A87062FEAEB3}" destId="{AED906BB-BB6D-458C-B342-7058B19CEE7F}" srcOrd="2" destOrd="0" presId="urn:microsoft.com/office/officeart/2005/8/layout/hierarchy2"/>
    <dgm:cxn modelId="{E64315D6-B9AA-44B7-9A25-FBC6A49FA2C8}" type="presParOf" srcId="{AED906BB-BB6D-458C-B342-7058B19CEE7F}" destId="{CF297031-16D2-4379-A4D6-C8D048E60EDA}" srcOrd="0" destOrd="0" presId="urn:microsoft.com/office/officeart/2005/8/layout/hierarchy2"/>
    <dgm:cxn modelId="{F67A1403-441C-4E75-BC8D-EE020599DA21}" type="presParOf" srcId="{9009EBD5-1E82-41AF-A2FE-A87062FEAEB3}" destId="{8B476F94-0336-4C73-8BD9-F33B6A932740}" srcOrd="3" destOrd="0" presId="urn:microsoft.com/office/officeart/2005/8/layout/hierarchy2"/>
    <dgm:cxn modelId="{FA74A4EE-AE93-4867-9A6E-BAB791AA4F34}" type="presParOf" srcId="{8B476F94-0336-4C73-8BD9-F33B6A932740}" destId="{9DF2FA24-2181-4807-84AB-4E4FD54038EE}" srcOrd="0" destOrd="0" presId="urn:microsoft.com/office/officeart/2005/8/layout/hierarchy2"/>
    <dgm:cxn modelId="{8FBEF4A1-D228-494C-B4C9-4AEF61A3D0CB}" type="presParOf" srcId="{8B476F94-0336-4C73-8BD9-F33B6A932740}" destId="{5857A9B8-F9D7-499F-A177-2279A506281F}" srcOrd="1" destOrd="0" presId="urn:microsoft.com/office/officeart/2005/8/layout/hierarchy2"/>
    <dgm:cxn modelId="{92ED3214-9683-4D2D-8C2C-24DAA91C87D8}" type="presParOf" srcId="{9009EBD5-1E82-41AF-A2FE-A87062FEAEB3}" destId="{45FD4777-8028-477E-A8D3-D8601ED7FE14}" srcOrd="4" destOrd="0" presId="urn:microsoft.com/office/officeart/2005/8/layout/hierarchy2"/>
    <dgm:cxn modelId="{11C30C5E-EF38-4FAC-8243-E0010AB10035}" type="presParOf" srcId="{45FD4777-8028-477E-A8D3-D8601ED7FE14}" destId="{CF4A45C7-E266-4469-B979-58820B303833}" srcOrd="0" destOrd="0" presId="urn:microsoft.com/office/officeart/2005/8/layout/hierarchy2"/>
    <dgm:cxn modelId="{21C2FBD4-3DF0-4138-AF5E-625703E3D13E}" type="presParOf" srcId="{9009EBD5-1E82-41AF-A2FE-A87062FEAEB3}" destId="{7F460280-0F7B-4951-AFCC-632C1FA20245}" srcOrd="5" destOrd="0" presId="urn:microsoft.com/office/officeart/2005/8/layout/hierarchy2"/>
    <dgm:cxn modelId="{643BEA32-C7B2-4193-88AB-489299C0909B}" type="presParOf" srcId="{7F460280-0F7B-4951-AFCC-632C1FA20245}" destId="{BDA81F34-1872-48FF-BA50-6B7031C8FE64}" srcOrd="0" destOrd="0" presId="urn:microsoft.com/office/officeart/2005/8/layout/hierarchy2"/>
    <dgm:cxn modelId="{4BACCDB5-2862-4563-8B4B-F34F86EB4031}" type="presParOf" srcId="{7F460280-0F7B-4951-AFCC-632C1FA20245}" destId="{28AA9B9F-7218-4226-A812-68172B7E5255}" srcOrd="1" destOrd="0" presId="urn:microsoft.com/office/officeart/2005/8/layout/hierarchy2"/>
    <dgm:cxn modelId="{9C8B4164-AE96-4C2D-A0E7-5E26104CE7E4}" type="presParOf" srcId="{9009EBD5-1E82-41AF-A2FE-A87062FEAEB3}" destId="{6075CC77-01E1-4D20-A27D-CD98334BF670}" srcOrd="6" destOrd="0" presId="urn:microsoft.com/office/officeart/2005/8/layout/hierarchy2"/>
    <dgm:cxn modelId="{F1D0E24D-B225-4F52-955D-314A827BE868}" type="presParOf" srcId="{6075CC77-01E1-4D20-A27D-CD98334BF670}" destId="{178BBFBC-4DD6-43C8-BADA-E99A921A5BD0}" srcOrd="0" destOrd="0" presId="urn:microsoft.com/office/officeart/2005/8/layout/hierarchy2"/>
    <dgm:cxn modelId="{9AB32B14-0074-46E5-A779-E0936C93743E}" type="presParOf" srcId="{9009EBD5-1E82-41AF-A2FE-A87062FEAEB3}" destId="{357C9B29-463F-4E86-B146-4CEB376E49DB}" srcOrd="7" destOrd="0" presId="urn:microsoft.com/office/officeart/2005/8/layout/hierarchy2"/>
    <dgm:cxn modelId="{CB4DDE42-1A1B-41FC-B687-290D3A98663A}" type="presParOf" srcId="{357C9B29-463F-4E86-B146-4CEB376E49DB}" destId="{EF48A7EE-D470-4F5C-9737-2649ED5621EF}" srcOrd="0" destOrd="0" presId="urn:microsoft.com/office/officeart/2005/8/layout/hierarchy2"/>
    <dgm:cxn modelId="{1CDEC96B-3AB7-4CF4-9635-71EC6ADCD768}" type="presParOf" srcId="{357C9B29-463F-4E86-B146-4CEB376E49DB}" destId="{81FA96B5-030E-4301-8F6E-EFF440C13631}" srcOrd="1" destOrd="0" presId="urn:microsoft.com/office/officeart/2005/8/layout/hierarchy2"/>
    <dgm:cxn modelId="{3001BE9D-8D9F-4F63-BA1A-23C1B1D0050A}" type="presParOf" srcId="{9009EBD5-1E82-41AF-A2FE-A87062FEAEB3}" destId="{382D5B77-6F27-4E7F-B4D9-095D786F4209}" srcOrd="8" destOrd="0" presId="urn:microsoft.com/office/officeart/2005/8/layout/hierarchy2"/>
    <dgm:cxn modelId="{3996FE1A-C531-470D-9B12-A21E9FCB8C14}" type="presParOf" srcId="{382D5B77-6F27-4E7F-B4D9-095D786F4209}" destId="{740C89C9-D222-4845-A166-EFF3F017CC70}" srcOrd="0" destOrd="0" presId="urn:microsoft.com/office/officeart/2005/8/layout/hierarchy2"/>
    <dgm:cxn modelId="{11C08DA5-C8D2-4F92-84EE-17F1A4D82B1C}" type="presParOf" srcId="{9009EBD5-1E82-41AF-A2FE-A87062FEAEB3}" destId="{162F7A4B-9770-49E2-932D-2FB8FD5DFA59}" srcOrd="9" destOrd="0" presId="urn:microsoft.com/office/officeart/2005/8/layout/hierarchy2"/>
    <dgm:cxn modelId="{49724505-9AFB-40FA-8047-EE54ED3A4150}" type="presParOf" srcId="{162F7A4B-9770-49E2-932D-2FB8FD5DFA59}" destId="{9672AD0F-BCAA-4160-B192-A6422BE1B881}" srcOrd="0" destOrd="0" presId="urn:microsoft.com/office/officeart/2005/8/layout/hierarchy2"/>
    <dgm:cxn modelId="{759666B6-857C-469E-9532-1CD7ADBF84EB}" type="presParOf" srcId="{162F7A4B-9770-49E2-932D-2FB8FD5DFA59}" destId="{02A9E093-E988-4F68-8D5E-9CD9FFD15251}" srcOrd="1" destOrd="0" presId="urn:microsoft.com/office/officeart/2005/8/layout/hierarchy2"/>
    <dgm:cxn modelId="{FC909BD2-40CB-45F6-AB8D-1147B2806E22}" type="presParOf" srcId="{9009EBD5-1E82-41AF-A2FE-A87062FEAEB3}" destId="{FB7DA661-EBFC-4775-AAE6-5E76B26AFA55}" srcOrd="10" destOrd="0" presId="urn:microsoft.com/office/officeart/2005/8/layout/hierarchy2"/>
    <dgm:cxn modelId="{480E2015-E783-48F3-9AFD-C362E028DF33}" type="presParOf" srcId="{FB7DA661-EBFC-4775-AAE6-5E76B26AFA55}" destId="{5CA77C31-0659-4ABA-9CDB-12C0980DAD59}" srcOrd="0" destOrd="0" presId="urn:microsoft.com/office/officeart/2005/8/layout/hierarchy2"/>
    <dgm:cxn modelId="{05C3718B-5BEB-4D77-A0C8-C1B81802720A}" type="presParOf" srcId="{9009EBD5-1E82-41AF-A2FE-A87062FEAEB3}" destId="{C721A94A-319E-428E-8509-E70EFFA5B7D6}" srcOrd="11" destOrd="0" presId="urn:microsoft.com/office/officeart/2005/8/layout/hierarchy2"/>
    <dgm:cxn modelId="{A09DB0DF-9DFD-43FA-B4D7-919F51C1FA38}" type="presParOf" srcId="{C721A94A-319E-428E-8509-E70EFFA5B7D6}" destId="{2A4420C8-306B-4A6B-8C23-84AE79509F99}" srcOrd="0" destOrd="0" presId="urn:microsoft.com/office/officeart/2005/8/layout/hierarchy2"/>
    <dgm:cxn modelId="{6A695CEA-352B-4D6C-864C-1336091095AA}" type="presParOf" srcId="{C721A94A-319E-428E-8509-E70EFFA5B7D6}" destId="{D976855D-5714-4FC5-85CD-1B7DF2F704D8}" srcOrd="1" destOrd="0" presId="urn:microsoft.com/office/officeart/2005/8/layout/hierarchy2"/>
    <dgm:cxn modelId="{3134D6A0-838B-4677-A4A7-411F963D1465}" type="presParOf" srcId="{67BB8A86-5615-449E-AB91-F4BC7B9F59FF}" destId="{7298D802-21AC-4033-B64D-B65FB28415F7}" srcOrd="6" destOrd="0" presId="urn:microsoft.com/office/officeart/2005/8/layout/hierarchy2"/>
    <dgm:cxn modelId="{4D305CB1-201C-4C11-95E7-A2F70E771CC2}" type="presParOf" srcId="{7298D802-21AC-4033-B64D-B65FB28415F7}" destId="{932CAF0B-5A81-4B58-BFF0-C96B3BF809B4}" srcOrd="0" destOrd="0" presId="urn:microsoft.com/office/officeart/2005/8/layout/hierarchy2"/>
    <dgm:cxn modelId="{FF5A5843-549F-4C54-BE50-B1E2FCAE2F56}" type="presParOf" srcId="{67BB8A86-5615-449E-AB91-F4BC7B9F59FF}" destId="{BF8DF433-C668-4DB7-995E-73839826233A}" srcOrd="7" destOrd="0" presId="urn:microsoft.com/office/officeart/2005/8/layout/hierarchy2"/>
    <dgm:cxn modelId="{DEFA9393-6151-4210-A749-1C882B16C50E}" type="presParOf" srcId="{BF8DF433-C668-4DB7-995E-73839826233A}" destId="{414447BD-7C49-45A3-9510-CA13190D497F}" srcOrd="0" destOrd="0" presId="urn:microsoft.com/office/officeart/2005/8/layout/hierarchy2"/>
    <dgm:cxn modelId="{BE30D0E4-80A8-4F04-8CA8-24C8033202DC}" type="presParOf" srcId="{BF8DF433-C668-4DB7-995E-73839826233A}" destId="{50F1F04B-F0F2-4FC9-89BD-6E25474BF16A}" srcOrd="1" destOrd="0" presId="urn:microsoft.com/office/officeart/2005/8/layout/hierarchy2"/>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77BB00F-8487-4977-8EF9-61688F975DFA}" type="doc">
      <dgm:prSet loTypeId="urn:microsoft.com/office/officeart/2005/8/layout/hierarchy2" loCatId="hierarchy" qsTypeId="urn:microsoft.com/office/officeart/2005/8/quickstyle/simple3" qsCatId="simple" csTypeId="urn:microsoft.com/office/officeart/2005/8/colors/accent0_1" csCatId="mainScheme" phldr="1"/>
      <dgm:spPr/>
      <dgm:t>
        <a:bodyPr/>
        <a:lstStyle/>
        <a:p>
          <a:endParaRPr lang="hu-HU"/>
        </a:p>
      </dgm:t>
    </dgm:pt>
    <dgm:pt modelId="{D99D5E9C-1700-4116-8789-3B012CD11F4B}">
      <dgm:prSet phldrT="[Szöveg]" custT="1"/>
      <dgm:spPr/>
      <dgm:t>
        <a:bodyPr/>
        <a:lstStyle/>
        <a:p>
          <a:r>
            <a:rPr lang="hu-HU" sz="1200">
              <a:latin typeface="Times New Roman" pitchFamily="18" charset="0"/>
              <a:cs typeface="Times New Roman" pitchFamily="18" charset="0"/>
            </a:rPr>
            <a:t>Környezet-védelmi</a:t>
          </a:r>
          <a:r>
            <a:rPr lang="hu-HU" sz="1400">
              <a:latin typeface="Times New Roman" pitchFamily="18" charset="0"/>
              <a:cs typeface="Times New Roman" pitchFamily="18" charset="0"/>
            </a:rPr>
            <a:t> </a:t>
          </a:r>
          <a:r>
            <a:rPr lang="hu-HU" sz="1200">
              <a:latin typeface="Times New Roman" pitchFamily="18" charset="0"/>
              <a:cs typeface="Times New Roman" pitchFamily="18" charset="0"/>
            </a:rPr>
            <a:t>adók</a:t>
          </a:r>
          <a:endParaRPr lang="hu-HU" sz="1400">
            <a:latin typeface="Times New Roman" pitchFamily="18" charset="0"/>
            <a:cs typeface="Times New Roman" pitchFamily="18" charset="0"/>
          </a:endParaRPr>
        </a:p>
      </dgm:t>
    </dgm:pt>
    <dgm:pt modelId="{F8EBB53F-6182-491D-A222-AA4B7F0F1178}" type="parTrans" cxnId="{34A7A5A7-56D0-40AF-BB8C-35E85AE5A46E}">
      <dgm:prSet/>
      <dgm:spPr/>
      <dgm:t>
        <a:bodyPr/>
        <a:lstStyle/>
        <a:p>
          <a:endParaRPr lang="hu-HU">
            <a:latin typeface="Times New Roman" pitchFamily="18" charset="0"/>
            <a:cs typeface="Times New Roman" pitchFamily="18" charset="0"/>
          </a:endParaRPr>
        </a:p>
      </dgm:t>
    </dgm:pt>
    <dgm:pt modelId="{0616C659-BB18-4FDB-9E9B-9DDBFC58ED5E}" type="sibTrans" cxnId="{34A7A5A7-56D0-40AF-BB8C-35E85AE5A46E}">
      <dgm:prSet/>
      <dgm:spPr/>
      <dgm:t>
        <a:bodyPr/>
        <a:lstStyle/>
        <a:p>
          <a:endParaRPr lang="hu-HU">
            <a:latin typeface="Times New Roman" pitchFamily="18" charset="0"/>
            <a:cs typeface="Times New Roman" pitchFamily="18" charset="0"/>
          </a:endParaRPr>
        </a:p>
      </dgm:t>
    </dgm:pt>
    <dgm:pt modelId="{CE206449-8F94-4D51-9683-A690E70C78ED}">
      <dgm:prSet phldrT="[Szöveg]" custT="1"/>
      <dgm:spPr/>
      <dgm:t>
        <a:bodyPr/>
        <a:lstStyle/>
        <a:p>
          <a:r>
            <a:rPr lang="hu-HU" sz="1200">
              <a:latin typeface="Times New Roman" pitchFamily="18" charset="0"/>
              <a:cs typeface="Times New Roman" pitchFamily="18" charset="0"/>
            </a:rPr>
            <a:t>Energiaadó</a:t>
          </a:r>
          <a:endParaRPr lang="hu-HU" sz="800">
            <a:latin typeface="Times New Roman" pitchFamily="18" charset="0"/>
            <a:cs typeface="Times New Roman" pitchFamily="18" charset="0"/>
          </a:endParaRPr>
        </a:p>
      </dgm:t>
    </dgm:pt>
    <dgm:pt modelId="{F7F1FDE7-FD48-496D-81C2-671B6F40E615}" type="parTrans" cxnId="{9EFE704A-661C-4607-AEA3-A9844C1D33A7}">
      <dgm:prSet/>
      <dgm:spPr/>
      <dgm:t>
        <a:bodyPr/>
        <a:lstStyle/>
        <a:p>
          <a:endParaRPr lang="hu-HU">
            <a:latin typeface="Times New Roman" pitchFamily="18" charset="0"/>
            <a:cs typeface="Times New Roman" pitchFamily="18" charset="0"/>
          </a:endParaRPr>
        </a:p>
      </dgm:t>
    </dgm:pt>
    <dgm:pt modelId="{617C1F02-AF18-4E9C-A5E4-E474593C929E}" type="sibTrans" cxnId="{9EFE704A-661C-4607-AEA3-A9844C1D33A7}">
      <dgm:prSet/>
      <dgm:spPr/>
      <dgm:t>
        <a:bodyPr/>
        <a:lstStyle/>
        <a:p>
          <a:endParaRPr lang="hu-HU">
            <a:latin typeface="Times New Roman" pitchFamily="18" charset="0"/>
            <a:cs typeface="Times New Roman" pitchFamily="18" charset="0"/>
          </a:endParaRPr>
        </a:p>
      </dgm:t>
    </dgm:pt>
    <dgm:pt modelId="{1006D451-5939-4707-964F-A971542FAFDD}">
      <dgm:prSet phldrT="[Szöveg]" custT="1"/>
      <dgm:spPr/>
      <dgm:t>
        <a:bodyPr/>
        <a:lstStyle/>
        <a:p>
          <a:r>
            <a:rPr lang="hu-HU" sz="1200">
              <a:latin typeface="Times New Roman" pitchFamily="18" charset="0"/>
              <a:cs typeface="Times New Roman" pitchFamily="18" charset="0"/>
            </a:rPr>
            <a:t>Villamos-energiaadó</a:t>
          </a:r>
          <a:endParaRPr lang="hu-HU" sz="800">
            <a:latin typeface="Times New Roman" pitchFamily="18" charset="0"/>
            <a:cs typeface="Times New Roman" pitchFamily="18" charset="0"/>
          </a:endParaRPr>
        </a:p>
      </dgm:t>
    </dgm:pt>
    <dgm:pt modelId="{F92C2D3F-33B6-414D-B55C-78E78786A85B}" type="parTrans" cxnId="{E9484DE5-0070-46CC-BD45-2E7FBA079F1F}">
      <dgm:prSet/>
      <dgm:spPr/>
      <dgm:t>
        <a:bodyPr/>
        <a:lstStyle/>
        <a:p>
          <a:endParaRPr lang="hu-HU">
            <a:latin typeface="Times New Roman" pitchFamily="18" charset="0"/>
            <a:cs typeface="Times New Roman" pitchFamily="18" charset="0"/>
          </a:endParaRPr>
        </a:p>
      </dgm:t>
    </dgm:pt>
    <dgm:pt modelId="{DD6870C7-8BB7-4F2A-92EF-2A02B5DA9842}" type="sibTrans" cxnId="{E9484DE5-0070-46CC-BD45-2E7FBA079F1F}">
      <dgm:prSet/>
      <dgm:spPr/>
      <dgm:t>
        <a:bodyPr/>
        <a:lstStyle/>
        <a:p>
          <a:endParaRPr lang="hu-HU">
            <a:latin typeface="Times New Roman" pitchFamily="18" charset="0"/>
            <a:cs typeface="Times New Roman" pitchFamily="18" charset="0"/>
          </a:endParaRPr>
        </a:p>
      </dgm:t>
    </dgm:pt>
    <dgm:pt modelId="{165B315B-A71D-449E-ACDB-7501070E9BE8}">
      <dgm:prSet phldrT="[Szöveg]" custT="1"/>
      <dgm:spPr/>
      <dgm:t>
        <a:bodyPr/>
        <a:lstStyle/>
        <a:p>
          <a:r>
            <a:rPr lang="hu-HU" sz="1200">
              <a:latin typeface="Times New Roman" pitchFamily="18" charset="0"/>
              <a:cs typeface="Times New Roman" pitchFamily="18" charset="0"/>
            </a:rPr>
            <a:t>Az ásványi olajok adója</a:t>
          </a:r>
        </a:p>
      </dgm:t>
    </dgm:pt>
    <dgm:pt modelId="{1F963AD5-53AF-4C09-8B4D-86C919266EC1}" type="parTrans" cxnId="{BD9ADB08-B259-40B5-BE80-7BBBB645243B}">
      <dgm:prSet/>
      <dgm:spPr/>
      <dgm:t>
        <a:bodyPr/>
        <a:lstStyle/>
        <a:p>
          <a:endParaRPr lang="hu-HU">
            <a:latin typeface="Times New Roman" pitchFamily="18" charset="0"/>
            <a:cs typeface="Times New Roman" pitchFamily="18" charset="0"/>
          </a:endParaRPr>
        </a:p>
      </dgm:t>
    </dgm:pt>
    <dgm:pt modelId="{ACBC2E9C-46B5-4CD6-B2EF-F580D766A225}" type="sibTrans" cxnId="{BD9ADB08-B259-40B5-BE80-7BBBB645243B}">
      <dgm:prSet/>
      <dgm:spPr/>
      <dgm:t>
        <a:bodyPr/>
        <a:lstStyle/>
        <a:p>
          <a:endParaRPr lang="hu-HU">
            <a:latin typeface="Times New Roman" pitchFamily="18" charset="0"/>
            <a:cs typeface="Times New Roman" pitchFamily="18" charset="0"/>
          </a:endParaRPr>
        </a:p>
      </dgm:t>
    </dgm:pt>
    <dgm:pt modelId="{B0340249-463F-431A-881E-97D7AAFE39F5}">
      <dgm:prSet phldrT="[Szöveg]" custT="1"/>
      <dgm:spPr/>
      <dgm:t>
        <a:bodyPr/>
        <a:lstStyle/>
        <a:p>
          <a:r>
            <a:rPr lang="hu-HU" sz="800">
              <a:latin typeface="Times New Roman" pitchFamily="18" charset="0"/>
              <a:cs typeface="Times New Roman" pitchFamily="18" charset="0"/>
            </a:rPr>
            <a:t>CO</a:t>
          </a:r>
          <a:r>
            <a:rPr lang="hu-HU" sz="800" baseline="-25000">
              <a:latin typeface="Times New Roman" pitchFamily="18" charset="0"/>
              <a:cs typeface="Times New Roman" pitchFamily="18" charset="0"/>
            </a:rPr>
            <a:t>2 </a:t>
          </a:r>
          <a:r>
            <a:rPr lang="hu-HU" sz="1200" baseline="0">
              <a:latin typeface="Times New Roman" pitchFamily="18" charset="0"/>
              <a:cs typeface="Times New Roman" pitchFamily="18" charset="0"/>
            </a:rPr>
            <a:t>adó</a:t>
          </a:r>
          <a:endParaRPr lang="hu-HU" sz="800">
            <a:latin typeface="Times New Roman" pitchFamily="18" charset="0"/>
            <a:cs typeface="Times New Roman" pitchFamily="18" charset="0"/>
          </a:endParaRPr>
        </a:p>
      </dgm:t>
    </dgm:pt>
    <dgm:pt modelId="{5DF27591-709B-4726-B22D-F85B3F259E23}" type="parTrans" cxnId="{D5EBF8EC-85D1-4461-BF65-F544F441019B}">
      <dgm:prSet/>
      <dgm:spPr/>
      <dgm:t>
        <a:bodyPr/>
        <a:lstStyle/>
        <a:p>
          <a:endParaRPr lang="hu-HU">
            <a:latin typeface="Times New Roman" pitchFamily="18" charset="0"/>
            <a:cs typeface="Times New Roman" pitchFamily="18" charset="0"/>
          </a:endParaRPr>
        </a:p>
      </dgm:t>
    </dgm:pt>
    <dgm:pt modelId="{E694EDD7-FF0D-42F1-A9B1-F0E7D576E4E3}" type="sibTrans" cxnId="{D5EBF8EC-85D1-4461-BF65-F544F441019B}">
      <dgm:prSet/>
      <dgm:spPr/>
      <dgm:t>
        <a:bodyPr/>
        <a:lstStyle/>
        <a:p>
          <a:endParaRPr lang="hu-HU">
            <a:latin typeface="Times New Roman" pitchFamily="18" charset="0"/>
            <a:cs typeface="Times New Roman" pitchFamily="18" charset="0"/>
          </a:endParaRPr>
        </a:p>
      </dgm:t>
    </dgm:pt>
    <dgm:pt modelId="{918D36D4-F873-4EB8-A93D-9676AE339FE5}">
      <dgm:prSet custT="1"/>
      <dgm:spPr/>
      <dgm:t>
        <a:bodyPr/>
        <a:lstStyle/>
        <a:p>
          <a:r>
            <a:rPr lang="hu-HU" sz="1200">
              <a:latin typeface="Times New Roman" pitchFamily="18" charset="0"/>
              <a:cs typeface="Times New Roman" pitchFamily="18" charset="0"/>
            </a:rPr>
            <a:t>Szénadó</a:t>
          </a:r>
        </a:p>
      </dgm:t>
    </dgm:pt>
    <dgm:pt modelId="{9F69D136-2B3A-49A3-B97E-C5DA6F6747A5}" type="parTrans" cxnId="{2891D6D0-5DF7-4549-8663-70660961C734}">
      <dgm:prSet/>
      <dgm:spPr/>
      <dgm:t>
        <a:bodyPr/>
        <a:lstStyle/>
        <a:p>
          <a:endParaRPr lang="hu-HU">
            <a:latin typeface="Times New Roman" pitchFamily="18" charset="0"/>
            <a:cs typeface="Times New Roman" pitchFamily="18" charset="0"/>
          </a:endParaRPr>
        </a:p>
      </dgm:t>
    </dgm:pt>
    <dgm:pt modelId="{ECB9F3D3-3D16-45FF-965D-C18889592AFD}" type="sibTrans" cxnId="{2891D6D0-5DF7-4549-8663-70660961C734}">
      <dgm:prSet/>
      <dgm:spPr/>
      <dgm:t>
        <a:bodyPr/>
        <a:lstStyle/>
        <a:p>
          <a:endParaRPr lang="hu-HU">
            <a:latin typeface="Times New Roman" pitchFamily="18" charset="0"/>
            <a:cs typeface="Times New Roman" pitchFamily="18" charset="0"/>
          </a:endParaRPr>
        </a:p>
      </dgm:t>
    </dgm:pt>
    <dgm:pt modelId="{656A0ED6-668B-44B5-95A8-F88FE3FE0E65}">
      <dgm:prSet phldrT="[Szöveg]" custT="1"/>
      <dgm:spPr/>
      <dgm:t>
        <a:bodyPr/>
        <a:lstStyle/>
        <a:p>
          <a:r>
            <a:rPr lang="hu-HU" sz="1200">
              <a:latin typeface="Times New Roman" pitchFamily="18" charset="0"/>
              <a:cs typeface="Times New Roman" pitchFamily="18" charset="0"/>
            </a:rPr>
            <a:t>Motorolajok (liter/cent)</a:t>
          </a:r>
        </a:p>
      </dgm:t>
    </dgm:pt>
    <dgm:pt modelId="{5ACDF275-384F-45A2-BD1A-02BCB6A418D6}" type="parTrans" cxnId="{9CCF87CC-2156-449B-9093-D16312206F41}">
      <dgm:prSet/>
      <dgm:spPr/>
      <dgm:t>
        <a:bodyPr/>
        <a:lstStyle/>
        <a:p>
          <a:endParaRPr lang="hu-HU">
            <a:latin typeface="Times New Roman" pitchFamily="18" charset="0"/>
            <a:cs typeface="Times New Roman" pitchFamily="18" charset="0"/>
          </a:endParaRPr>
        </a:p>
      </dgm:t>
    </dgm:pt>
    <dgm:pt modelId="{F09C4117-1E85-46B5-A064-CFDB8B07256E}" type="sibTrans" cxnId="{9CCF87CC-2156-449B-9093-D16312206F41}">
      <dgm:prSet/>
      <dgm:spPr/>
      <dgm:t>
        <a:bodyPr/>
        <a:lstStyle/>
        <a:p>
          <a:endParaRPr lang="hu-HU">
            <a:latin typeface="Times New Roman" pitchFamily="18" charset="0"/>
            <a:cs typeface="Times New Roman" pitchFamily="18" charset="0"/>
          </a:endParaRPr>
        </a:p>
      </dgm:t>
    </dgm:pt>
    <dgm:pt modelId="{45430863-8450-407C-9749-CAC48C009FE4}">
      <dgm:prSet phldrT="[Szöveg]" custT="1"/>
      <dgm:spPr/>
      <dgm:t>
        <a:bodyPr/>
        <a:lstStyle/>
        <a:p>
          <a:r>
            <a:rPr lang="hu-HU" sz="1200">
              <a:latin typeface="Times New Roman" pitchFamily="18" charset="0"/>
              <a:cs typeface="Times New Roman" pitchFamily="18" charset="0"/>
            </a:rPr>
            <a:t>Fűtőolajok</a:t>
          </a:r>
        </a:p>
      </dgm:t>
    </dgm:pt>
    <dgm:pt modelId="{87A4E541-D6B1-44D8-9BE9-D08134E3AD4A}" type="parTrans" cxnId="{A66C1720-4884-4C2C-85B1-AC543318AAC5}">
      <dgm:prSet/>
      <dgm:spPr/>
      <dgm:t>
        <a:bodyPr/>
        <a:lstStyle/>
        <a:p>
          <a:endParaRPr lang="hu-HU">
            <a:latin typeface="Times New Roman" pitchFamily="18" charset="0"/>
            <a:cs typeface="Times New Roman" pitchFamily="18" charset="0"/>
          </a:endParaRPr>
        </a:p>
      </dgm:t>
    </dgm:pt>
    <dgm:pt modelId="{BC799943-0278-43BD-90AB-29240DC14962}" type="sibTrans" cxnId="{A66C1720-4884-4C2C-85B1-AC543318AAC5}">
      <dgm:prSet/>
      <dgm:spPr/>
      <dgm:t>
        <a:bodyPr/>
        <a:lstStyle/>
        <a:p>
          <a:endParaRPr lang="hu-HU">
            <a:latin typeface="Times New Roman" pitchFamily="18" charset="0"/>
            <a:cs typeface="Times New Roman" pitchFamily="18" charset="0"/>
          </a:endParaRPr>
        </a:p>
      </dgm:t>
    </dgm:pt>
    <dgm:pt modelId="{60F93342-2E28-48F5-8374-248CA0706EDD}">
      <dgm:prSet phldrT="[Szöveg]" custT="1"/>
      <dgm:spPr/>
      <dgm:t>
        <a:bodyPr/>
        <a:lstStyle/>
        <a:p>
          <a:r>
            <a:rPr lang="hu-HU" sz="1200">
              <a:latin typeface="Times New Roman" pitchFamily="18" charset="0"/>
              <a:cs typeface="Times New Roman" pitchFamily="18" charset="0"/>
            </a:rPr>
            <a:t>Dízel</a:t>
          </a:r>
        </a:p>
      </dgm:t>
    </dgm:pt>
    <dgm:pt modelId="{A5D1DF02-67F6-4525-8C70-8F8B4AD18215}" type="parTrans" cxnId="{2E06F3C3-677F-4616-844A-0B81D332FA88}">
      <dgm:prSet/>
      <dgm:spPr/>
      <dgm:t>
        <a:bodyPr/>
        <a:lstStyle/>
        <a:p>
          <a:endParaRPr lang="hu-HU">
            <a:latin typeface="Times New Roman" pitchFamily="18" charset="0"/>
            <a:cs typeface="Times New Roman" pitchFamily="18" charset="0"/>
          </a:endParaRPr>
        </a:p>
      </dgm:t>
    </dgm:pt>
    <dgm:pt modelId="{AF6A05C0-C09B-448B-A8E0-51DE61AD611A}" type="sibTrans" cxnId="{2E06F3C3-677F-4616-844A-0B81D332FA88}">
      <dgm:prSet/>
      <dgm:spPr/>
      <dgm:t>
        <a:bodyPr/>
        <a:lstStyle/>
        <a:p>
          <a:endParaRPr lang="hu-HU">
            <a:latin typeface="Times New Roman" pitchFamily="18" charset="0"/>
            <a:cs typeface="Times New Roman" pitchFamily="18" charset="0"/>
          </a:endParaRPr>
        </a:p>
      </dgm:t>
    </dgm:pt>
    <dgm:pt modelId="{FDDAFE35-78C1-47D3-A07F-98B97C608984}">
      <dgm:prSet phldrT="[Szöveg]" custT="1"/>
      <dgm:spPr/>
      <dgm:t>
        <a:bodyPr/>
        <a:lstStyle/>
        <a:p>
          <a:r>
            <a:rPr lang="hu-HU" sz="1200">
              <a:latin typeface="Times New Roman" pitchFamily="18" charset="0"/>
              <a:cs typeface="Times New Roman" pitchFamily="18" charset="0"/>
            </a:rPr>
            <a:t>Benzin</a:t>
          </a:r>
        </a:p>
      </dgm:t>
    </dgm:pt>
    <dgm:pt modelId="{E08BBEEB-7986-4C51-99EB-F4EBC946BD12}" type="parTrans" cxnId="{F6C5CA79-1501-4E82-A1F1-79176DB08973}">
      <dgm:prSet/>
      <dgm:spPr/>
      <dgm:t>
        <a:bodyPr/>
        <a:lstStyle/>
        <a:p>
          <a:endParaRPr lang="hu-HU">
            <a:latin typeface="Times New Roman" pitchFamily="18" charset="0"/>
            <a:cs typeface="Times New Roman" pitchFamily="18" charset="0"/>
          </a:endParaRPr>
        </a:p>
      </dgm:t>
    </dgm:pt>
    <dgm:pt modelId="{B7DADF9E-65AF-4D4C-90D7-DFC2FDC7B9F6}" type="sibTrans" cxnId="{F6C5CA79-1501-4E82-A1F1-79176DB08973}">
      <dgm:prSet/>
      <dgm:spPr/>
      <dgm:t>
        <a:bodyPr/>
        <a:lstStyle/>
        <a:p>
          <a:endParaRPr lang="hu-HU">
            <a:latin typeface="Times New Roman" pitchFamily="18" charset="0"/>
            <a:cs typeface="Times New Roman" pitchFamily="18" charset="0"/>
          </a:endParaRPr>
        </a:p>
      </dgm:t>
    </dgm:pt>
    <dgm:pt modelId="{6C27CDB6-8439-41C2-A7C2-B86C7952F2D4}">
      <dgm:prSet phldrT="[Szöveg]" custT="1"/>
      <dgm:spPr/>
      <dgm:t>
        <a:bodyPr/>
        <a:lstStyle/>
        <a:p>
          <a:r>
            <a:rPr lang="hu-HU" sz="1200">
              <a:latin typeface="Times New Roman" pitchFamily="18" charset="0"/>
              <a:cs typeface="Times New Roman" pitchFamily="18" charset="0"/>
            </a:rPr>
            <a:t>Földgáz</a:t>
          </a:r>
        </a:p>
      </dgm:t>
    </dgm:pt>
    <dgm:pt modelId="{EFEC4BD9-C25B-49BE-A8C8-93F943739B78}" type="parTrans" cxnId="{CAB00263-348E-44C4-B2E2-39C00B3A1583}">
      <dgm:prSet/>
      <dgm:spPr/>
      <dgm:t>
        <a:bodyPr/>
        <a:lstStyle/>
        <a:p>
          <a:endParaRPr lang="hu-HU">
            <a:latin typeface="Times New Roman" pitchFamily="18" charset="0"/>
            <a:cs typeface="Times New Roman" pitchFamily="18" charset="0"/>
          </a:endParaRPr>
        </a:p>
      </dgm:t>
    </dgm:pt>
    <dgm:pt modelId="{4C08FE17-926F-46D8-9611-A87FE3AF01E4}" type="sibTrans" cxnId="{CAB00263-348E-44C4-B2E2-39C00B3A1583}">
      <dgm:prSet/>
      <dgm:spPr/>
      <dgm:t>
        <a:bodyPr/>
        <a:lstStyle/>
        <a:p>
          <a:endParaRPr lang="hu-HU">
            <a:latin typeface="Times New Roman" pitchFamily="18" charset="0"/>
            <a:cs typeface="Times New Roman" pitchFamily="18" charset="0"/>
          </a:endParaRPr>
        </a:p>
      </dgm:t>
    </dgm:pt>
    <dgm:pt modelId="{558845CA-9EE1-4842-A399-C8881C0B1D60}">
      <dgm:prSet phldrT="[Szöveg]" custT="1"/>
      <dgm:spPr/>
      <dgm:t>
        <a:bodyPr/>
        <a:lstStyle/>
        <a:p>
          <a:r>
            <a:rPr lang="hu-HU" sz="1200">
              <a:latin typeface="Times New Roman" pitchFamily="18" charset="0"/>
              <a:cs typeface="Times New Roman" pitchFamily="18" charset="0"/>
            </a:rPr>
            <a:t>PB-gáz</a:t>
          </a:r>
        </a:p>
      </dgm:t>
    </dgm:pt>
    <dgm:pt modelId="{C26A75A1-C264-449E-A7B3-BD4763EC1FC9}" type="parTrans" cxnId="{0C07C629-E5A8-427D-8F4F-7E5D4368C5D2}">
      <dgm:prSet/>
      <dgm:spPr/>
      <dgm:t>
        <a:bodyPr/>
        <a:lstStyle/>
        <a:p>
          <a:endParaRPr lang="hu-HU">
            <a:latin typeface="Times New Roman" pitchFamily="18" charset="0"/>
            <a:cs typeface="Times New Roman" pitchFamily="18" charset="0"/>
          </a:endParaRPr>
        </a:p>
      </dgm:t>
    </dgm:pt>
    <dgm:pt modelId="{E68E0B97-E59F-4EBA-BF8C-380CC9874759}" type="sibTrans" cxnId="{0C07C629-E5A8-427D-8F4F-7E5D4368C5D2}">
      <dgm:prSet/>
      <dgm:spPr/>
      <dgm:t>
        <a:bodyPr/>
        <a:lstStyle/>
        <a:p>
          <a:endParaRPr lang="hu-HU">
            <a:latin typeface="Times New Roman" pitchFamily="18" charset="0"/>
            <a:cs typeface="Times New Roman" pitchFamily="18" charset="0"/>
          </a:endParaRPr>
        </a:p>
      </dgm:t>
    </dgm:pt>
    <dgm:pt modelId="{00AC90BD-ECF0-4BC5-985B-BD49C266B960}">
      <dgm:prSet phldrT="[Szöveg]" custT="1"/>
      <dgm:spPr/>
      <dgm:t>
        <a:bodyPr/>
        <a:lstStyle/>
        <a:p>
          <a:r>
            <a:rPr lang="hu-HU" sz="1000">
              <a:latin typeface="Times New Roman" pitchFamily="18" charset="0"/>
              <a:cs typeface="Times New Roman" pitchFamily="18" charset="0"/>
            </a:rPr>
            <a:t>Könnyű fűtőolajok (cent/liter)</a:t>
          </a:r>
        </a:p>
      </dgm:t>
    </dgm:pt>
    <dgm:pt modelId="{11304209-1085-4941-BDE1-4BF627BB6428}" type="parTrans" cxnId="{64EC54AA-CFE6-47E9-A3F0-5121C053F207}">
      <dgm:prSet/>
      <dgm:spPr/>
      <dgm:t>
        <a:bodyPr/>
        <a:lstStyle/>
        <a:p>
          <a:endParaRPr lang="hu-HU">
            <a:latin typeface="Times New Roman" pitchFamily="18" charset="0"/>
            <a:cs typeface="Times New Roman" pitchFamily="18" charset="0"/>
          </a:endParaRPr>
        </a:p>
      </dgm:t>
    </dgm:pt>
    <dgm:pt modelId="{85319133-CFA2-40D1-8384-6678266A4D17}" type="sibTrans" cxnId="{64EC54AA-CFE6-47E9-A3F0-5121C053F207}">
      <dgm:prSet/>
      <dgm:spPr/>
      <dgm:t>
        <a:bodyPr/>
        <a:lstStyle/>
        <a:p>
          <a:endParaRPr lang="hu-HU">
            <a:latin typeface="Times New Roman" pitchFamily="18" charset="0"/>
            <a:cs typeface="Times New Roman" pitchFamily="18" charset="0"/>
          </a:endParaRPr>
        </a:p>
      </dgm:t>
    </dgm:pt>
    <dgm:pt modelId="{23CE54C5-040B-4352-A7EE-BBA85A4C9090}">
      <dgm:prSet phldrT="[Szöveg]" custT="1"/>
      <dgm:spPr/>
      <dgm:t>
        <a:bodyPr/>
        <a:lstStyle/>
        <a:p>
          <a:r>
            <a:rPr lang="hu-HU" sz="1200">
              <a:latin typeface="Times New Roman" pitchFamily="18" charset="0"/>
              <a:cs typeface="Times New Roman" pitchFamily="18" charset="0"/>
            </a:rPr>
            <a:t>Földgáz (cent/KWh)</a:t>
          </a:r>
        </a:p>
      </dgm:t>
    </dgm:pt>
    <dgm:pt modelId="{A3D5C8D3-D3BC-4348-BD23-7C9D8DC4CD94}" type="sibTrans" cxnId="{7E049E82-5754-4CC1-8EF5-371D64689296}">
      <dgm:prSet/>
      <dgm:spPr/>
      <dgm:t>
        <a:bodyPr/>
        <a:lstStyle/>
        <a:p>
          <a:endParaRPr lang="hu-HU">
            <a:latin typeface="Times New Roman" pitchFamily="18" charset="0"/>
            <a:cs typeface="Times New Roman" pitchFamily="18" charset="0"/>
          </a:endParaRPr>
        </a:p>
      </dgm:t>
    </dgm:pt>
    <dgm:pt modelId="{7A7B86F4-CB62-4DC0-B156-63A3CFD8229F}" type="parTrans" cxnId="{7E049E82-5754-4CC1-8EF5-371D64689296}">
      <dgm:prSet/>
      <dgm:spPr/>
      <dgm:t>
        <a:bodyPr/>
        <a:lstStyle/>
        <a:p>
          <a:endParaRPr lang="hu-HU">
            <a:latin typeface="Times New Roman" pitchFamily="18" charset="0"/>
            <a:cs typeface="Times New Roman" pitchFamily="18" charset="0"/>
          </a:endParaRPr>
        </a:p>
      </dgm:t>
    </dgm:pt>
    <dgm:pt modelId="{8BDD9119-97C7-4CBD-BF6F-FFE63F292EE2}">
      <dgm:prSet phldrT="[Szöveg]" custT="1"/>
      <dgm:spPr/>
      <dgm:t>
        <a:bodyPr/>
        <a:lstStyle/>
        <a:p>
          <a:r>
            <a:rPr lang="hu-HU" sz="1000">
              <a:latin typeface="Times New Roman" pitchFamily="18" charset="0"/>
              <a:cs typeface="Times New Roman" pitchFamily="18" charset="0"/>
            </a:rPr>
            <a:t>Nehéz fűtőolajok (cent/kg)</a:t>
          </a:r>
        </a:p>
      </dgm:t>
    </dgm:pt>
    <dgm:pt modelId="{51D47569-31F3-471F-B175-4099C9F029FA}" type="sibTrans" cxnId="{4D893654-ECD3-4BAA-AF8C-6E39DEE9E334}">
      <dgm:prSet/>
      <dgm:spPr/>
      <dgm:t>
        <a:bodyPr/>
        <a:lstStyle/>
        <a:p>
          <a:endParaRPr lang="hu-HU">
            <a:latin typeface="Times New Roman" pitchFamily="18" charset="0"/>
            <a:cs typeface="Times New Roman" pitchFamily="18" charset="0"/>
          </a:endParaRPr>
        </a:p>
      </dgm:t>
    </dgm:pt>
    <dgm:pt modelId="{088DB5DA-EBF3-48D4-AA68-396584953520}" type="parTrans" cxnId="{4D893654-ECD3-4BAA-AF8C-6E39DEE9E334}">
      <dgm:prSet/>
      <dgm:spPr/>
      <dgm:t>
        <a:bodyPr/>
        <a:lstStyle/>
        <a:p>
          <a:endParaRPr lang="hu-HU">
            <a:latin typeface="Times New Roman" pitchFamily="18" charset="0"/>
            <a:cs typeface="Times New Roman" pitchFamily="18" charset="0"/>
          </a:endParaRPr>
        </a:p>
      </dgm:t>
    </dgm:pt>
    <dgm:pt modelId="{EE6DFCCE-DADF-4ABF-B492-FD87E6D3ED0C}" type="pres">
      <dgm:prSet presAssocID="{C77BB00F-8487-4977-8EF9-61688F975DFA}" presName="diagram" presStyleCnt="0">
        <dgm:presLayoutVars>
          <dgm:chPref val="1"/>
          <dgm:dir/>
          <dgm:animOne val="branch"/>
          <dgm:animLvl val="lvl"/>
          <dgm:resizeHandles val="exact"/>
        </dgm:presLayoutVars>
      </dgm:prSet>
      <dgm:spPr/>
      <dgm:t>
        <a:bodyPr/>
        <a:lstStyle/>
        <a:p>
          <a:endParaRPr lang="hu-HU"/>
        </a:p>
      </dgm:t>
    </dgm:pt>
    <dgm:pt modelId="{FF821AD0-463E-4117-A3DF-8D4A481C5634}" type="pres">
      <dgm:prSet presAssocID="{D99D5E9C-1700-4116-8789-3B012CD11F4B}" presName="root1" presStyleCnt="0"/>
      <dgm:spPr/>
    </dgm:pt>
    <dgm:pt modelId="{12FEF0BD-58BF-410D-B4BF-D3E8DE8A27EF}" type="pres">
      <dgm:prSet presAssocID="{D99D5E9C-1700-4116-8789-3B012CD11F4B}" presName="LevelOneTextNode" presStyleLbl="node0" presStyleIdx="0" presStyleCnt="1" custScaleX="86510" custScaleY="186634">
        <dgm:presLayoutVars>
          <dgm:chPref val="3"/>
        </dgm:presLayoutVars>
      </dgm:prSet>
      <dgm:spPr/>
      <dgm:t>
        <a:bodyPr/>
        <a:lstStyle/>
        <a:p>
          <a:endParaRPr lang="hu-HU"/>
        </a:p>
      </dgm:t>
    </dgm:pt>
    <dgm:pt modelId="{593935AD-CBA1-4F98-81A2-C00C1CA99979}" type="pres">
      <dgm:prSet presAssocID="{D99D5E9C-1700-4116-8789-3B012CD11F4B}" presName="level2hierChild" presStyleCnt="0"/>
      <dgm:spPr/>
    </dgm:pt>
    <dgm:pt modelId="{5C1EAA8B-BAF2-47F4-9D00-4EB996C382D0}" type="pres">
      <dgm:prSet presAssocID="{F7F1FDE7-FD48-496D-81C2-671B6F40E615}" presName="conn2-1" presStyleLbl="parChTrans1D2" presStyleIdx="0" presStyleCnt="2"/>
      <dgm:spPr/>
      <dgm:t>
        <a:bodyPr/>
        <a:lstStyle/>
        <a:p>
          <a:endParaRPr lang="hu-HU"/>
        </a:p>
      </dgm:t>
    </dgm:pt>
    <dgm:pt modelId="{5CED22E9-86E6-4490-B2A1-6062E3C05929}" type="pres">
      <dgm:prSet presAssocID="{F7F1FDE7-FD48-496D-81C2-671B6F40E615}" presName="connTx" presStyleLbl="parChTrans1D2" presStyleIdx="0" presStyleCnt="2"/>
      <dgm:spPr/>
      <dgm:t>
        <a:bodyPr/>
        <a:lstStyle/>
        <a:p>
          <a:endParaRPr lang="hu-HU"/>
        </a:p>
      </dgm:t>
    </dgm:pt>
    <dgm:pt modelId="{90514100-04EE-4C43-882C-90464BD5D6D6}" type="pres">
      <dgm:prSet presAssocID="{CE206449-8F94-4D51-9683-A690E70C78ED}" presName="root2" presStyleCnt="0"/>
      <dgm:spPr/>
    </dgm:pt>
    <dgm:pt modelId="{4B2576F6-E2D0-41A9-B88A-30E692D05AD1}" type="pres">
      <dgm:prSet presAssocID="{CE206449-8F94-4D51-9683-A690E70C78ED}" presName="LevelTwoTextNode" presStyleLbl="node2" presStyleIdx="0" presStyleCnt="2">
        <dgm:presLayoutVars>
          <dgm:chPref val="3"/>
        </dgm:presLayoutVars>
      </dgm:prSet>
      <dgm:spPr/>
      <dgm:t>
        <a:bodyPr/>
        <a:lstStyle/>
        <a:p>
          <a:endParaRPr lang="hu-HU"/>
        </a:p>
      </dgm:t>
    </dgm:pt>
    <dgm:pt modelId="{0CBCA09F-12ED-496B-B69B-6609057B7829}" type="pres">
      <dgm:prSet presAssocID="{CE206449-8F94-4D51-9683-A690E70C78ED}" presName="level3hierChild" presStyleCnt="0"/>
      <dgm:spPr/>
    </dgm:pt>
    <dgm:pt modelId="{E00E43E9-01D8-424D-882B-4A506AE707B3}" type="pres">
      <dgm:prSet presAssocID="{F92C2D3F-33B6-414D-B55C-78E78786A85B}" presName="conn2-1" presStyleLbl="parChTrans1D3" presStyleIdx="0" presStyleCnt="3"/>
      <dgm:spPr/>
      <dgm:t>
        <a:bodyPr/>
        <a:lstStyle/>
        <a:p>
          <a:endParaRPr lang="hu-HU"/>
        </a:p>
      </dgm:t>
    </dgm:pt>
    <dgm:pt modelId="{344B5888-66FD-4EE9-9D86-8E7B814FE505}" type="pres">
      <dgm:prSet presAssocID="{F92C2D3F-33B6-414D-B55C-78E78786A85B}" presName="connTx" presStyleLbl="parChTrans1D3" presStyleIdx="0" presStyleCnt="3"/>
      <dgm:spPr/>
      <dgm:t>
        <a:bodyPr/>
        <a:lstStyle/>
        <a:p>
          <a:endParaRPr lang="hu-HU"/>
        </a:p>
      </dgm:t>
    </dgm:pt>
    <dgm:pt modelId="{18ABDBB8-81BD-4D11-BB78-546A90034DAF}" type="pres">
      <dgm:prSet presAssocID="{1006D451-5939-4707-964F-A971542FAFDD}" presName="root2" presStyleCnt="0"/>
      <dgm:spPr/>
    </dgm:pt>
    <dgm:pt modelId="{44B8D1D1-B153-4CE9-B5F8-5648D20E1CC9}" type="pres">
      <dgm:prSet presAssocID="{1006D451-5939-4707-964F-A971542FAFDD}" presName="LevelTwoTextNode" presStyleLbl="node3" presStyleIdx="0" presStyleCnt="3">
        <dgm:presLayoutVars>
          <dgm:chPref val="3"/>
        </dgm:presLayoutVars>
      </dgm:prSet>
      <dgm:spPr/>
      <dgm:t>
        <a:bodyPr/>
        <a:lstStyle/>
        <a:p>
          <a:endParaRPr lang="hu-HU"/>
        </a:p>
      </dgm:t>
    </dgm:pt>
    <dgm:pt modelId="{C5057776-1F11-4810-BE48-E23A5AB7D078}" type="pres">
      <dgm:prSet presAssocID="{1006D451-5939-4707-964F-A971542FAFDD}" presName="level3hierChild" presStyleCnt="0"/>
      <dgm:spPr/>
    </dgm:pt>
    <dgm:pt modelId="{CBB908CE-CDF1-49EF-A536-9628CCC8865D}" type="pres">
      <dgm:prSet presAssocID="{1F963AD5-53AF-4C09-8B4D-86C919266EC1}" presName="conn2-1" presStyleLbl="parChTrans1D3" presStyleIdx="1" presStyleCnt="3"/>
      <dgm:spPr/>
      <dgm:t>
        <a:bodyPr/>
        <a:lstStyle/>
        <a:p>
          <a:endParaRPr lang="hu-HU"/>
        </a:p>
      </dgm:t>
    </dgm:pt>
    <dgm:pt modelId="{30B14ED1-CFDA-4C88-A89A-73683AFAE98E}" type="pres">
      <dgm:prSet presAssocID="{1F963AD5-53AF-4C09-8B4D-86C919266EC1}" presName="connTx" presStyleLbl="parChTrans1D3" presStyleIdx="1" presStyleCnt="3"/>
      <dgm:spPr/>
      <dgm:t>
        <a:bodyPr/>
        <a:lstStyle/>
        <a:p>
          <a:endParaRPr lang="hu-HU"/>
        </a:p>
      </dgm:t>
    </dgm:pt>
    <dgm:pt modelId="{5A0D1845-9557-4B10-905C-7F0B5CC9EE95}" type="pres">
      <dgm:prSet presAssocID="{165B315B-A71D-449E-ACDB-7501070E9BE8}" presName="root2" presStyleCnt="0"/>
      <dgm:spPr/>
    </dgm:pt>
    <dgm:pt modelId="{DCF084E2-7889-4B86-87F1-DBD26CF52AAC}" type="pres">
      <dgm:prSet presAssocID="{165B315B-A71D-449E-ACDB-7501070E9BE8}" presName="LevelTwoTextNode" presStyleLbl="node3" presStyleIdx="1" presStyleCnt="3">
        <dgm:presLayoutVars>
          <dgm:chPref val="3"/>
        </dgm:presLayoutVars>
      </dgm:prSet>
      <dgm:spPr/>
      <dgm:t>
        <a:bodyPr/>
        <a:lstStyle/>
        <a:p>
          <a:endParaRPr lang="hu-HU"/>
        </a:p>
      </dgm:t>
    </dgm:pt>
    <dgm:pt modelId="{B69843C9-0605-497D-AA26-499E376D5795}" type="pres">
      <dgm:prSet presAssocID="{165B315B-A71D-449E-ACDB-7501070E9BE8}" presName="level3hierChild" presStyleCnt="0"/>
      <dgm:spPr/>
    </dgm:pt>
    <dgm:pt modelId="{F792AB49-41D2-4804-AED3-7291B23E0486}" type="pres">
      <dgm:prSet presAssocID="{5ACDF275-384F-45A2-BD1A-02BCB6A418D6}" presName="conn2-1" presStyleLbl="parChTrans1D4" presStyleIdx="0" presStyleCnt="9"/>
      <dgm:spPr/>
      <dgm:t>
        <a:bodyPr/>
        <a:lstStyle/>
        <a:p>
          <a:endParaRPr lang="hu-HU"/>
        </a:p>
      </dgm:t>
    </dgm:pt>
    <dgm:pt modelId="{2DD90E68-FDD5-4612-99C3-C58D3ED17F77}" type="pres">
      <dgm:prSet presAssocID="{5ACDF275-384F-45A2-BD1A-02BCB6A418D6}" presName="connTx" presStyleLbl="parChTrans1D4" presStyleIdx="0" presStyleCnt="9"/>
      <dgm:spPr/>
      <dgm:t>
        <a:bodyPr/>
        <a:lstStyle/>
        <a:p>
          <a:endParaRPr lang="hu-HU"/>
        </a:p>
      </dgm:t>
    </dgm:pt>
    <dgm:pt modelId="{2E74EBC8-BF37-4D94-8B99-693FC93E41FA}" type="pres">
      <dgm:prSet presAssocID="{656A0ED6-668B-44B5-95A8-F88FE3FE0E65}" presName="root2" presStyleCnt="0"/>
      <dgm:spPr/>
    </dgm:pt>
    <dgm:pt modelId="{BEB1DFBE-436A-49AE-BDA3-A37ABE2765C2}" type="pres">
      <dgm:prSet presAssocID="{656A0ED6-668B-44B5-95A8-F88FE3FE0E65}" presName="LevelTwoTextNode" presStyleLbl="node4" presStyleIdx="0" presStyleCnt="9">
        <dgm:presLayoutVars>
          <dgm:chPref val="3"/>
        </dgm:presLayoutVars>
      </dgm:prSet>
      <dgm:spPr/>
      <dgm:t>
        <a:bodyPr/>
        <a:lstStyle/>
        <a:p>
          <a:endParaRPr lang="hu-HU"/>
        </a:p>
      </dgm:t>
    </dgm:pt>
    <dgm:pt modelId="{C0DE140F-AF2B-436D-86BD-CCBF759C3971}" type="pres">
      <dgm:prSet presAssocID="{656A0ED6-668B-44B5-95A8-F88FE3FE0E65}" presName="level3hierChild" presStyleCnt="0"/>
      <dgm:spPr/>
    </dgm:pt>
    <dgm:pt modelId="{D98DE2EE-B3D4-4ACB-BEF5-B3F5F2B25F1B}" type="pres">
      <dgm:prSet presAssocID="{A5D1DF02-67F6-4525-8C70-8F8B4AD18215}" presName="conn2-1" presStyleLbl="parChTrans1D4" presStyleIdx="1" presStyleCnt="9"/>
      <dgm:spPr/>
      <dgm:t>
        <a:bodyPr/>
        <a:lstStyle/>
        <a:p>
          <a:endParaRPr lang="hu-HU"/>
        </a:p>
      </dgm:t>
    </dgm:pt>
    <dgm:pt modelId="{8BC83C81-47DB-4C55-8EED-0B7911B0A0BD}" type="pres">
      <dgm:prSet presAssocID="{A5D1DF02-67F6-4525-8C70-8F8B4AD18215}" presName="connTx" presStyleLbl="parChTrans1D4" presStyleIdx="1" presStyleCnt="9"/>
      <dgm:spPr/>
      <dgm:t>
        <a:bodyPr/>
        <a:lstStyle/>
        <a:p>
          <a:endParaRPr lang="hu-HU"/>
        </a:p>
      </dgm:t>
    </dgm:pt>
    <dgm:pt modelId="{11C945F6-E88F-4F3F-814E-CC6C9D487509}" type="pres">
      <dgm:prSet presAssocID="{60F93342-2E28-48F5-8374-248CA0706EDD}" presName="root2" presStyleCnt="0"/>
      <dgm:spPr/>
    </dgm:pt>
    <dgm:pt modelId="{574E1D18-5D9A-4924-B55A-48F6095FBD27}" type="pres">
      <dgm:prSet presAssocID="{60F93342-2E28-48F5-8374-248CA0706EDD}" presName="LevelTwoTextNode" presStyleLbl="node4" presStyleIdx="1" presStyleCnt="9">
        <dgm:presLayoutVars>
          <dgm:chPref val="3"/>
        </dgm:presLayoutVars>
      </dgm:prSet>
      <dgm:spPr/>
      <dgm:t>
        <a:bodyPr/>
        <a:lstStyle/>
        <a:p>
          <a:endParaRPr lang="hu-HU"/>
        </a:p>
      </dgm:t>
    </dgm:pt>
    <dgm:pt modelId="{8916EC51-2557-4633-8693-D8AB911CE4EA}" type="pres">
      <dgm:prSet presAssocID="{60F93342-2E28-48F5-8374-248CA0706EDD}" presName="level3hierChild" presStyleCnt="0"/>
      <dgm:spPr/>
    </dgm:pt>
    <dgm:pt modelId="{964AF4C8-5CB4-40C7-A90B-9A1FFEE40F46}" type="pres">
      <dgm:prSet presAssocID="{E08BBEEB-7986-4C51-99EB-F4EBC946BD12}" presName="conn2-1" presStyleLbl="parChTrans1D4" presStyleIdx="2" presStyleCnt="9"/>
      <dgm:spPr/>
      <dgm:t>
        <a:bodyPr/>
        <a:lstStyle/>
        <a:p>
          <a:endParaRPr lang="hu-HU"/>
        </a:p>
      </dgm:t>
    </dgm:pt>
    <dgm:pt modelId="{8C01ECF9-C864-4728-B845-C1D1EEFB532D}" type="pres">
      <dgm:prSet presAssocID="{E08BBEEB-7986-4C51-99EB-F4EBC946BD12}" presName="connTx" presStyleLbl="parChTrans1D4" presStyleIdx="2" presStyleCnt="9"/>
      <dgm:spPr/>
      <dgm:t>
        <a:bodyPr/>
        <a:lstStyle/>
        <a:p>
          <a:endParaRPr lang="hu-HU"/>
        </a:p>
      </dgm:t>
    </dgm:pt>
    <dgm:pt modelId="{83FB26CF-3F81-44D2-B681-5272175A0CFD}" type="pres">
      <dgm:prSet presAssocID="{FDDAFE35-78C1-47D3-A07F-98B97C608984}" presName="root2" presStyleCnt="0"/>
      <dgm:spPr/>
    </dgm:pt>
    <dgm:pt modelId="{D143450F-13AE-4F1F-A17D-8A10F9EA8613}" type="pres">
      <dgm:prSet presAssocID="{FDDAFE35-78C1-47D3-A07F-98B97C608984}" presName="LevelTwoTextNode" presStyleLbl="node4" presStyleIdx="2" presStyleCnt="9">
        <dgm:presLayoutVars>
          <dgm:chPref val="3"/>
        </dgm:presLayoutVars>
      </dgm:prSet>
      <dgm:spPr/>
      <dgm:t>
        <a:bodyPr/>
        <a:lstStyle/>
        <a:p>
          <a:endParaRPr lang="hu-HU"/>
        </a:p>
      </dgm:t>
    </dgm:pt>
    <dgm:pt modelId="{F73F0218-07AD-4610-B661-8DAEAF1486C8}" type="pres">
      <dgm:prSet presAssocID="{FDDAFE35-78C1-47D3-A07F-98B97C608984}" presName="level3hierChild" presStyleCnt="0"/>
      <dgm:spPr/>
    </dgm:pt>
    <dgm:pt modelId="{45FAD744-6E6B-4877-B0D0-A0CFDD807393}" type="pres">
      <dgm:prSet presAssocID="{EFEC4BD9-C25B-49BE-A8C8-93F943739B78}" presName="conn2-1" presStyleLbl="parChTrans1D4" presStyleIdx="3" presStyleCnt="9"/>
      <dgm:spPr/>
      <dgm:t>
        <a:bodyPr/>
        <a:lstStyle/>
        <a:p>
          <a:endParaRPr lang="hu-HU"/>
        </a:p>
      </dgm:t>
    </dgm:pt>
    <dgm:pt modelId="{12252F5F-D689-45D3-A119-D2B25D42BE3D}" type="pres">
      <dgm:prSet presAssocID="{EFEC4BD9-C25B-49BE-A8C8-93F943739B78}" presName="connTx" presStyleLbl="parChTrans1D4" presStyleIdx="3" presStyleCnt="9"/>
      <dgm:spPr/>
      <dgm:t>
        <a:bodyPr/>
        <a:lstStyle/>
        <a:p>
          <a:endParaRPr lang="hu-HU"/>
        </a:p>
      </dgm:t>
    </dgm:pt>
    <dgm:pt modelId="{D0C73EB9-7957-4757-AD99-9747AE9EE750}" type="pres">
      <dgm:prSet presAssocID="{6C27CDB6-8439-41C2-A7C2-B86C7952F2D4}" presName="root2" presStyleCnt="0"/>
      <dgm:spPr/>
    </dgm:pt>
    <dgm:pt modelId="{328D69B1-71DD-488B-93C1-347AC84AD40D}" type="pres">
      <dgm:prSet presAssocID="{6C27CDB6-8439-41C2-A7C2-B86C7952F2D4}" presName="LevelTwoTextNode" presStyleLbl="node4" presStyleIdx="3" presStyleCnt="9">
        <dgm:presLayoutVars>
          <dgm:chPref val="3"/>
        </dgm:presLayoutVars>
      </dgm:prSet>
      <dgm:spPr/>
      <dgm:t>
        <a:bodyPr/>
        <a:lstStyle/>
        <a:p>
          <a:endParaRPr lang="hu-HU"/>
        </a:p>
      </dgm:t>
    </dgm:pt>
    <dgm:pt modelId="{B70B0DD2-FE9F-4271-8873-6E7B9B8A614E}" type="pres">
      <dgm:prSet presAssocID="{6C27CDB6-8439-41C2-A7C2-B86C7952F2D4}" presName="level3hierChild" presStyleCnt="0"/>
      <dgm:spPr/>
    </dgm:pt>
    <dgm:pt modelId="{4C3F699B-4A8B-4512-8757-13E9D77B2E50}" type="pres">
      <dgm:prSet presAssocID="{C26A75A1-C264-449E-A7B3-BD4763EC1FC9}" presName="conn2-1" presStyleLbl="parChTrans1D4" presStyleIdx="4" presStyleCnt="9"/>
      <dgm:spPr/>
      <dgm:t>
        <a:bodyPr/>
        <a:lstStyle/>
        <a:p>
          <a:endParaRPr lang="hu-HU"/>
        </a:p>
      </dgm:t>
    </dgm:pt>
    <dgm:pt modelId="{74893BEA-2341-4B86-B0A9-12633EB5A3BD}" type="pres">
      <dgm:prSet presAssocID="{C26A75A1-C264-449E-A7B3-BD4763EC1FC9}" presName="connTx" presStyleLbl="parChTrans1D4" presStyleIdx="4" presStyleCnt="9"/>
      <dgm:spPr/>
      <dgm:t>
        <a:bodyPr/>
        <a:lstStyle/>
        <a:p>
          <a:endParaRPr lang="hu-HU"/>
        </a:p>
      </dgm:t>
    </dgm:pt>
    <dgm:pt modelId="{09A1AA4B-9316-48BD-8CBF-EF398321D3C5}" type="pres">
      <dgm:prSet presAssocID="{558845CA-9EE1-4842-A399-C8881C0B1D60}" presName="root2" presStyleCnt="0"/>
      <dgm:spPr/>
    </dgm:pt>
    <dgm:pt modelId="{A0090604-DB51-4824-8E23-A7C01B82FAAF}" type="pres">
      <dgm:prSet presAssocID="{558845CA-9EE1-4842-A399-C8881C0B1D60}" presName="LevelTwoTextNode" presStyleLbl="node4" presStyleIdx="4" presStyleCnt="9">
        <dgm:presLayoutVars>
          <dgm:chPref val="3"/>
        </dgm:presLayoutVars>
      </dgm:prSet>
      <dgm:spPr/>
      <dgm:t>
        <a:bodyPr/>
        <a:lstStyle/>
        <a:p>
          <a:endParaRPr lang="hu-HU"/>
        </a:p>
      </dgm:t>
    </dgm:pt>
    <dgm:pt modelId="{36C54B9E-CB37-415B-9989-B73549778140}" type="pres">
      <dgm:prSet presAssocID="{558845CA-9EE1-4842-A399-C8881C0B1D60}" presName="level3hierChild" presStyleCnt="0"/>
      <dgm:spPr/>
    </dgm:pt>
    <dgm:pt modelId="{6613E9EA-0B75-42CA-9222-2DCE3C30C23D}" type="pres">
      <dgm:prSet presAssocID="{87A4E541-D6B1-44D8-9BE9-D08134E3AD4A}" presName="conn2-1" presStyleLbl="parChTrans1D4" presStyleIdx="5" presStyleCnt="9"/>
      <dgm:spPr/>
      <dgm:t>
        <a:bodyPr/>
        <a:lstStyle/>
        <a:p>
          <a:endParaRPr lang="hu-HU"/>
        </a:p>
      </dgm:t>
    </dgm:pt>
    <dgm:pt modelId="{B0310831-D9CB-4520-8757-DE47CD107910}" type="pres">
      <dgm:prSet presAssocID="{87A4E541-D6B1-44D8-9BE9-D08134E3AD4A}" presName="connTx" presStyleLbl="parChTrans1D4" presStyleIdx="5" presStyleCnt="9"/>
      <dgm:spPr/>
      <dgm:t>
        <a:bodyPr/>
        <a:lstStyle/>
        <a:p>
          <a:endParaRPr lang="hu-HU"/>
        </a:p>
      </dgm:t>
    </dgm:pt>
    <dgm:pt modelId="{57390104-5093-4179-8617-98066E7BE891}" type="pres">
      <dgm:prSet presAssocID="{45430863-8450-407C-9749-CAC48C009FE4}" presName="root2" presStyleCnt="0"/>
      <dgm:spPr/>
    </dgm:pt>
    <dgm:pt modelId="{A81C5D8E-BAD6-4553-B15A-CF756315DA08}" type="pres">
      <dgm:prSet presAssocID="{45430863-8450-407C-9749-CAC48C009FE4}" presName="LevelTwoTextNode" presStyleLbl="node4" presStyleIdx="5" presStyleCnt="9">
        <dgm:presLayoutVars>
          <dgm:chPref val="3"/>
        </dgm:presLayoutVars>
      </dgm:prSet>
      <dgm:spPr/>
      <dgm:t>
        <a:bodyPr/>
        <a:lstStyle/>
        <a:p>
          <a:endParaRPr lang="hu-HU"/>
        </a:p>
      </dgm:t>
    </dgm:pt>
    <dgm:pt modelId="{6465E1E9-440D-44F0-BE11-C06DF09699A4}" type="pres">
      <dgm:prSet presAssocID="{45430863-8450-407C-9749-CAC48C009FE4}" presName="level3hierChild" presStyleCnt="0"/>
      <dgm:spPr/>
    </dgm:pt>
    <dgm:pt modelId="{EECA3E21-8DA5-41CB-BDC1-A950F938434D}" type="pres">
      <dgm:prSet presAssocID="{11304209-1085-4941-BDE1-4BF627BB6428}" presName="conn2-1" presStyleLbl="parChTrans1D4" presStyleIdx="6" presStyleCnt="9"/>
      <dgm:spPr/>
      <dgm:t>
        <a:bodyPr/>
        <a:lstStyle/>
        <a:p>
          <a:endParaRPr lang="hu-HU"/>
        </a:p>
      </dgm:t>
    </dgm:pt>
    <dgm:pt modelId="{889F5AFC-7A7E-41B0-821A-8A07B1BA411D}" type="pres">
      <dgm:prSet presAssocID="{11304209-1085-4941-BDE1-4BF627BB6428}" presName="connTx" presStyleLbl="parChTrans1D4" presStyleIdx="6" presStyleCnt="9"/>
      <dgm:spPr/>
      <dgm:t>
        <a:bodyPr/>
        <a:lstStyle/>
        <a:p>
          <a:endParaRPr lang="hu-HU"/>
        </a:p>
      </dgm:t>
    </dgm:pt>
    <dgm:pt modelId="{4EFC64F9-2036-4FDE-8D4B-E1D5DF78CAB8}" type="pres">
      <dgm:prSet presAssocID="{00AC90BD-ECF0-4BC5-985B-BD49C266B960}" presName="root2" presStyleCnt="0"/>
      <dgm:spPr/>
    </dgm:pt>
    <dgm:pt modelId="{BA565E7E-24B4-4A16-84C8-86675787C02D}" type="pres">
      <dgm:prSet presAssocID="{00AC90BD-ECF0-4BC5-985B-BD49C266B960}" presName="LevelTwoTextNode" presStyleLbl="node4" presStyleIdx="6" presStyleCnt="9">
        <dgm:presLayoutVars>
          <dgm:chPref val="3"/>
        </dgm:presLayoutVars>
      </dgm:prSet>
      <dgm:spPr/>
      <dgm:t>
        <a:bodyPr/>
        <a:lstStyle/>
        <a:p>
          <a:endParaRPr lang="hu-HU"/>
        </a:p>
      </dgm:t>
    </dgm:pt>
    <dgm:pt modelId="{6BA21616-2A8A-4B52-BFC4-A120DA6824DF}" type="pres">
      <dgm:prSet presAssocID="{00AC90BD-ECF0-4BC5-985B-BD49C266B960}" presName="level3hierChild" presStyleCnt="0"/>
      <dgm:spPr/>
    </dgm:pt>
    <dgm:pt modelId="{4D079E4C-5DE0-4FA7-9F67-A9119C88A04C}" type="pres">
      <dgm:prSet presAssocID="{088DB5DA-EBF3-48D4-AA68-396584953520}" presName="conn2-1" presStyleLbl="parChTrans1D4" presStyleIdx="7" presStyleCnt="9"/>
      <dgm:spPr/>
      <dgm:t>
        <a:bodyPr/>
        <a:lstStyle/>
        <a:p>
          <a:endParaRPr lang="hu-HU"/>
        </a:p>
      </dgm:t>
    </dgm:pt>
    <dgm:pt modelId="{26526A74-B4F9-4706-A93B-E03652AA5170}" type="pres">
      <dgm:prSet presAssocID="{088DB5DA-EBF3-48D4-AA68-396584953520}" presName="connTx" presStyleLbl="parChTrans1D4" presStyleIdx="7" presStyleCnt="9"/>
      <dgm:spPr/>
      <dgm:t>
        <a:bodyPr/>
        <a:lstStyle/>
        <a:p>
          <a:endParaRPr lang="hu-HU"/>
        </a:p>
      </dgm:t>
    </dgm:pt>
    <dgm:pt modelId="{CF0A1C93-DDB7-42FE-997B-3B2B887C582B}" type="pres">
      <dgm:prSet presAssocID="{8BDD9119-97C7-4CBD-BF6F-FFE63F292EE2}" presName="root2" presStyleCnt="0"/>
      <dgm:spPr/>
    </dgm:pt>
    <dgm:pt modelId="{A9A6D5DD-E60C-47BD-B9AA-1E1576BC69CF}" type="pres">
      <dgm:prSet presAssocID="{8BDD9119-97C7-4CBD-BF6F-FFE63F292EE2}" presName="LevelTwoTextNode" presStyleLbl="node4" presStyleIdx="7" presStyleCnt="9">
        <dgm:presLayoutVars>
          <dgm:chPref val="3"/>
        </dgm:presLayoutVars>
      </dgm:prSet>
      <dgm:spPr/>
      <dgm:t>
        <a:bodyPr/>
        <a:lstStyle/>
        <a:p>
          <a:endParaRPr lang="hu-HU"/>
        </a:p>
      </dgm:t>
    </dgm:pt>
    <dgm:pt modelId="{F66A3C62-E8DB-4929-B062-B5ACEA45D1C6}" type="pres">
      <dgm:prSet presAssocID="{8BDD9119-97C7-4CBD-BF6F-FFE63F292EE2}" presName="level3hierChild" presStyleCnt="0"/>
      <dgm:spPr/>
    </dgm:pt>
    <dgm:pt modelId="{533144B8-F774-4F6E-97F5-548CD68213CE}" type="pres">
      <dgm:prSet presAssocID="{7A7B86F4-CB62-4DC0-B156-63A3CFD8229F}" presName="conn2-1" presStyleLbl="parChTrans1D4" presStyleIdx="8" presStyleCnt="9"/>
      <dgm:spPr/>
      <dgm:t>
        <a:bodyPr/>
        <a:lstStyle/>
        <a:p>
          <a:endParaRPr lang="hu-HU"/>
        </a:p>
      </dgm:t>
    </dgm:pt>
    <dgm:pt modelId="{FB17A95B-E89A-42EA-B256-4A506ECA19DA}" type="pres">
      <dgm:prSet presAssocID="{7A7B86F4-CB62-4DC0-B156-63A3CFD8229F}" presName="connTx" presStyleLbl="parChTrans1D4" presStyleIdx="8" presStyleCnt="9"/>
      <dgm:spPr/>
      <dgm:t>
        <a:bodyPr/>
        <a:lstStyle/>
        <a:p>
          <a:endParaRPr lang="hu-HU"/>
        </a:p>
      </dgm:t>
    </dgm:pt>
    <dgm:pt modelId="{7755010D-6BC7-4F87-AA08-EDBC6B925109}" type="pres">
      <dgm:prSet presAssocID="{23CE54C5-040B-4352-A7EE-BBA85A4C9090}" presName="root2" presStyleCnt="0"/>
      <dgm:spPr/>
    </dgm:pt>
    <dgm:pt modelId="{61FD81A0-3EEF-4CCC-A4A2-C702FDC6BD56}" type="pres">
      <dgm:prSet presAssocID="{23CE54C5-040B-4352-A7EE-BBA85A4C9090}" presName="LevelTwoTextNode" presStyleLbl="node4" presStyleIdx="8" presStyleCnt="9">
        <dgm:presLayoutVars>
          <dgm:chPref val="3"/>
        </dgm:presLayoutVars>
      </dgm:prSet>
      <dgm:spPr/>
      <dgm:t>
        <a:bodyPr/>
        <a:lstStyle/>
        <a:p>
          <a:endParaRPr lang="hu-HU"/>
        </a:p>
      </dgm:t>
    </dgm:pt>
    <dgm:pt modelId="{F4001C0D-950B-47EA-B6C7-EEC870677E61}" type="pres">
      <dgm:prSet presAssocID="{23CE54C5-040B-4352-A7EE-BBA85A4C9090}" presName="level3hierChild" presStyleCnt="0"/>
      <dgm:spPr/>
    </dgm:pt>
    <dgm:pt modelId="{923AFB82-A108-454F-BE04-DBA7C2E97280}" type="pres">
      <dgm:prSet presAssocID="{9F69D136-2B3A-49A3-B97E-C5DA6F6747A5}" presName="conn2-1" presStyleLbl="parChTrans1D3" presStyleIdx="2" presStyleCnt="3"/>
      <dgm:spPr/>
      <dgm:t>
        <a:bodyPr/>
        <a:lstStyle/>
        <a:p>
          <a:endParaRPr lang="hu-HU"/>
        </a:p>
      </dgm:t>
    </dgm:pt>
    <dgm:pt modelId="{8696DCFA-4CDA-4B8C-A462-DE8E4181E870}" type="pres">
      <dgm:prSet presAssocID="{9F69D136-2B3A-49A3-B97E-C5DA6F6747A5}" presName="connTx" presStyleLbl="parChTrans1D3" presStyleIdx="2" presStyleCnt="3"/>
      <dgm:spPr/>
      <dgm:t>
        <a:bodyPr/>
        <a:lstStyle/>
        <a:p>
          <a:endParaRPr lang="hu-HU"/>
        </a:p>
      </dgm:t>
    </dgm:pt>
    <dgm:pt modelId="{3A9B0A0B-BA66-4DF6-A6BF-46EA35AF0CA4}" type="pres">
      <dgm:prSet presAssocID="{918D36D4-F873-4EB8-A93D-9676AE339FE5}" presName="root2" presStyleCnt="0"/>
      <dgm:spPr/>
    </dgm:pt>
    <dgm:pt modelId="{08E48E2F-FFE4-4A7D-ABD3-4E48F61F2C7A}" type="pres">
      <dgm:prSet presAssocID="{918D36D4-F873-4EB8-A93D-9676AE339FE5}" presName="LevelTwoTextNode" presStyleLbl="node3" presStyleIdx="2" presStyleCnt="3">
        <dgm:presLayoutVars>
          <dgm:chPref val="3"/>
        </dgm:presLayoutVars>
      </dgm:prSet>
      <dgm:spPr/>
      <dgm:t>
        <a:bodyPr/>
        <a:lstStyle/>
        <a:p>
          <a:endParaRPr lang="hu-HU"/>
        </a:p>
      </dgm:t>
    </dgm:pt>
    <dgm:pt modelId="{F144D784-55FC-43ED-8C74-0E8740DBFDDA}" type="pres">
      <dgm:prSet presAssocID="{918D36D4-F873-4EB8-A93D-9676AE339FE5}" presName="level3hierChild" presStyleCnt="0"/>
      <dgm:spPr/>
    </dgm:pt>
    <dgm:pt modelId="{92DFB907-A785-4CC2-8197-FA63ACD3D7AD}" type="pres">
      <dgm:prSet presAssocID="{5DF27591-709B-4726-B22D-F85B3F259E23}" presName="conn2-1" presStyleLbl="parChTrans1D2" presStyleIdx="1" presStyleCnt="2"/>
      <dgm:spPr/>
      <dgm:t>
        <a:bodyPr/>
        <a:lstStyle/>
        <a:p>
          <a:endParaRPr lang="hu-HU"/>
        </a:p>
      </dgm:t>
    </dgm:pt>
    <dgm:pt modelId="{5510694F-B115-4E1E-9BFF-863C4946DD3E}" type="pres">
      <dgm:prSet presAssocID="{5DF27591-709B-4726-B22D-F85B3F259E23}" presName="connTx" presStyleLbl="parChTrans1D2" presStyleIdx="1" presStyleCnt="2"/>
      <dgm:spPr/>
      <dgm:t>
        <a:bodyPr/>
        <a:lstStyle/>
        <a:p>
          <a:endParaRPr lang="hu-HU"/>
        </a:p>
      </dgm:t>
    </dgm:pt>
    <dgm:pt modelId="{7B93519F-29C0-4287-A8F7-4FBCE5E7DD61}" type="pres">
      <dgm:prSet presAssocID="{B0340249-463F-431A-881E-97D7AAFE39F5}" presName="root2" presStyleCnt="0"/>
      <dgm:spPr/>
    </dgm:pt>
    <dgm:pt modelId="{78747D1B-853E-41EB-9CDF-138C924BD026}" type="pres">
      <dgm:prSet presAssocID="{B0340249-463F-431A-881E-97D7AAFE39F5}" presName="LevelTwoTextNode" presStyleLbl="node2" presStyleIdx="1" presStyleCnt="2">
        <dgm:presLayoutVars>
          <dgm:chPref val="3"/>
        </dgm:presLayoutVars>
      </dgm:prSet>
      <dgm:spPr/>
      <dgm:t>
        <a:bodyPr/>
        <a:lstStyle/>
        <a:p>
          <a:endParaRPr lang="hu-HU"/>
        </a:p>
      </dgm:t>
    </dgm:pt>
    <dgm:pt modelId="{E1ED70A3-8D1D-41E3-A1A4-FDB5CBE1BE25}" type="pres">
      <dgm:prSet presAssocID="{B0340249-463F-431A-881E-97D7AAFE39F5}" presName="level3hierChild" presStyleCnt="0"/>
      <dgm:spPr/>
    </dgm:pt>
  </dgm:ptLst>
  <dgm:cxnLst>
    <dgm:cxn modelId="{64EC54AA-CFE6-47E9-A3F0-5121C053F207}" srcId="{45430863-8450-407C-9749-CAC48C009FE4}" destId="{00AC90BD-ECF0-4BC5-985B-BD49C266B960}" srcOrd="0" destOrd="0" parTransId="{11304209-1085-4941-BDE1-4BF627BB6428}" sibTransId="{85319133-CFA2-40D1-8384-6678266A4D17}"/>
    <dgm:cxn modelId="{18185A2B-C711-411C-98D2-76E2E665B578}" type="presOf" srcId="{656A0ED6-668B-44B5-95A8-F88FE3FE0E65}" destId="{BEB1DFBE-436A-49AE-BDA3-A37ABE2765C2}" srcOrd="0" destOrd="0" presId="urn:microsoft.com/office/officeart/2005/8/layout/hierarchy2"/>
    <dgm:cxn modelId="{C88B0EE6-029C-4ECC-8D6D-2EEB272AF983}" type="presOf" srcId="{918D36D4-F873-4EB8-A93D-9676AE339FE5}" destId="{08E48E2F-FFE4-4A7D-ABD3-4E48F61F2C7A}" srcOrd="0" destOrd="0" presId="urn:microsoft.com/office/officeart/2005/8/layout/hierarchy2"/>
    <dgm:cxn modelId="{9CCF87CC-2156-449B-9093-D16312206F41}" srcId="{165B315B-A71D-449E-ACDB-7501070E9BE8}" destId="{656A0ED6-668B-44B5-95A8-F88FE3FE0E65}" srcOrd="0" destOrd="0" parTransId="{5ACDF275-384F-45A2-BD1A-02BCB6A418D6}" sibTransId="{F09C4117-1E85-46B5-A064-CFDB8B07256E}"/>
    <dgm:cxn modelId="{4D893654-ECD3-4BAA-AF8C-6E39DEE9E334}" srcId="{45430863-8450-407C-9749-CAC48C009FE4}" destId="{8BDD9119-97C7-4CBD-BF6F-FFE63F292EE2}" srcOrd="1" destOrd="0" parTransId="{088DB5DA-EBF3-48D4-AA68-396584953520}" sibTransId="{51D47569-31F3-471F-B175-4099C9F029FA}"/>
    <dgm:cxn modelId="{75532D79-6FB7-41D1-87F5-0B349431CEB0}" type="presOf" srcId="{60F93342-2E28-48F5-8374-248CA0706EDD}" destId="{574E1D18-5D9A-4924-B55A-48F6095FBD27}" srcOrd="0" destOrd="0" presId="urn:microsoft.com/office/officeart/2005/8/layout/hierarchy2"/>
    <dgm:cxn modelId="{A66C1720-4884-4C2C-85B1-AC543318AAC5}" srcId="{165B315B-A71D-449E-ACDB-7501070E9BE8}" destId="{45430863-8450-407C-9749-CAC48C009FE4}" srcOrd="1" destOrd="0" parTransId="{87A4E541-D6B1-44D8-9BE9-D08134E3AD4A}" sibTransId="{BC799943-0278-43BD-90AB-29240DC14962}"/>
    <dgm:cxn modelId="{CAB00263-348E-44C4-B2E2-39C00B3A1583}" srcId="{656A0ED6-668B-44B5-95A8-F88FE3FE0E65}" destId="{6C27CDB6-8439-41C2-A7C2-B86C7952F2D4}" srcOrd="2" destOrd="0" parTransId="{EFEC4BD9-C25B-49BE-A8C8-93F943739B78}" sibTransId="{4C08FE17-926F-46D8-9611-A87FE3AF01E4}"/>
    <dgm:cxn modelId="{CCA8261A-8F77-4A3E-99BF-EE05F068BB17}" type="presOf" srcId="{FDDAFE35-78C1-47D3-A07F-98B97C608984}" destId="{D143450F-13AE-4F1F-A17D-8A10F9EA8613}" srcOrd="0" destOrd="0" presId="urn:microsoft.com/office/officeart/2005/8/layout/hierarchy2"/>
    <dgm:cxn modelId="{87AEDB21-60D0-4F73-BD69-69782D3257BE}" type="presOf" srcId="{CE206449-8F94-4D51-9683-A690E70C78ED}" destId="{4B2576F6-E2D0-41A9-B88A-30E692D05AD1}" srcOrd="0" destOrd="0" presId="urn:microsoft.com/office/officeart/2005/8/layout/hierarchy2"/>
    <dgm:cxn modelId="{7E049E82-5754-4CC1-8EF5-371D64689296}" srcId="{45430863-8450-407C-9749-CAC48C009FE4}" destId="{23CE54C5-040B-4352-A7EE-BBA85A4C9090}" srcOrd="2" destOrd="0" parTransId="{7A7B86F4-CB62-4DC0-B156-63A3CFD8229F}" sibTransId="{A3D5C8D3-D3BC-4348-BD23-7C9D8DC4CD94}"/>
    <dgm:cxn modelId="{3BC2B901-A6AD-4F04-B966-0079A801708A}" type="presOf" srcId="{7A7B86F4-CB62-4DC0-B156-63A3CFD8229F}" destId="{FB17A95B-E89A-42EA-B256-4A506ECA19DA}" srcOrd="1" destOrd="0" presId="urn:microsoft.com/office/officeart/2005/8/layout/hierarchy2"/>
    <dgm:cxn modelId="{34A7A5A7-56D0-40AF-BB8C-35E85AE5A46E}" srcId="{C77BB00F-8487-4977-8EF9-61688F975DFA}" destId="{D99D5E9C-1700-4116-8789-3B012CD11F4B}" srcOrd="0" destOrd="0" parTransId="{F8EBB53F-6182-491D-A222-AA4B7F0F1178}" sibTransId="{0616C659-BB18-4FDB-9E9B-9DDBFC58ED5E}"/>
    <dgm:cxn modelId="{0C07C629-E5A8-427D-8F4F-7E5D4368C5D2}" srcId="{656A0ED6-668B-44B5-95A8-F88FE3FE0E65}" destId="{558845CA-9EE1-4842-A399-C8881C0B1D60}" srcOrd="3" destOrd="0" parTransId="{C26A75A1-C264-449E-A7B3-BD4763EC1FC9}" sibTransId="{E68E0B97-E59F-4EBA-BF8C-380CC9874759}"/>
    <dgm:cxn modelId="{D9947E0B-23DF-4405-B004-641F2E06EEDC}" type="presOf" srcId="{F92C2D3F-33B6-414D-B55C-78E78786A85B}" destId="{E00E43E9-01D8-424D-882B-4A506AE707B3}" srcOrd="0" destOrd="0" presId="urn:microsoft.com/office/officeart/2005/8/layout/hierarchy2"/>
    <dgm:cxn modelId="{E9484DE5-0070-46CC-BD45-2E7FBA079F1F}" srcId="{CE206449-8F94-4D51-9683-A690E70C78ED}" destId="{1006D451-5939-4707-964F-A971542FAFDD}" srcOrd="0" destOrd="0" parTransId="{F92C2D3F-33B6-414D-B55C-78E78786A85B}" sibTransId="{DD6870C7-8BB7-4F2A-92EF-2A02B5DA9842}"/>
    <dgm:cxn modelId="{8421ABE9-9062-4313-9D77-1655DE21A89E}" type="presOf" srcId="{87A4E541-D6B1-44D8-9BE9-D08134E3AD4A}" destId="{6613E9EA-0B75-42CA-9222-2DCE3C30C23D}" srcOrd="0" destOrd="0" presId="urn:microsoft.com/office/officeart/2005/8/layout/hierarchy2"/>
    <dgm:cxn modelId="{B4C22A35-3FF8-46EA-9154-57D80A3CEB19}" type="presOf" srcId="{1006D451-5939-4707-964F-A971542FAFDD}" destId="{44B8D1D1-B153-4CE9-B5F8-5648D20E1CC9}" srcOrd="0" destOrd="0" presId="urn:microsoft.com/office/officeart/2005/8/layout/hierarchy2"/>
    <dgm:cxn modelId="{5296A3BC-8FFF-4CA1-A16E-632974EE43A6}" type="presOf" srcId="{F7F1FDE7-FD48-496D-81C2-671B6F40E615}" destId="{5C1EAA8B-BAF2-47F4-9D00-4EB996C382D0}" srcOrd="0" destOrd="0" presId="urn:microsoft.com/office/officeart/2005/8/layout/hierarchy2"/>
    <dgm:cxn modelId="{DE7C73E0-5ED9-4AD4-8EDC-9B6435E948ED}" type="presOf" srcId="{11304209-1085-4941-BDE1-4BF627BB6428}" destId="{EECA3E21-8DA5-41CB-BDC1-A950F938434D}" srcOrd="0" destOrd="0" presId="urn:microsoft.com/office/officeart/2005/8/layout/hierarchy2"/>
    <dgm:cxn modelId="{9AD9773C-5508-4F44-B558-14C50DC7A17F}" type="presOf" srcId="{11304209-1085-4941-BDE1-4BF627BB6428}" destId="{889F5AFC-7A7E-41B0-821A-8A07B1BA411D}" srcOrd="1" destOrd="0" presId="urn:microsoft.com/office/officeart/2005/8/layout/hierarchy2"/>
    <dgm:cxn modelId="{9F59A0E3-98CE-4CD8-B5F9-B60BFC65492A}" type="presOf" srcId="{5DF27591-709B-4726-B22D-F85B3F259E23}" destId="{5510694F-B115-4E1E-9BFF-863C4946DD3E}" srcOrd="1" destOrd="0" presId="urn:microsoft.com/office/officeart/2005/8/layout/hierarchy2"/>
    <dgm:cxn modelId="{C64A7F66-07F5-4E19-AA9A-A47C0479E71A}" type="presOf" srcId="{C77BB00F-8487-4977-8EF9-61688F975DFA}" destId="{EE6DFCCE-DADF-4ABF-B492-FD87E6D3ED0C}" srcOrd="0" destOrd="0" presId="urn:microsoft.com/office/officeart/2005/8/layout/hierarchy2"/>
    <dgm:cxn modelId="{EC17B7A5-3715-461A-8C32-9ADE18DCDAA3}" type="presOf" srcId="{C26A75A1-C264-449E-A7B3-BD4763EC1FC9}" destId="{4C3F699B-4A8B-4512-8757-13E9D77B2E50}" srcOrd="0" destOrd="0" presId="urn:microsoft.com/office/officeart/2005/8/layout/hierarchy2"/>
    <dgm:cxn modelId="{191CD87C-C44B-491E-B6C7-4341CAE09CFA}" type="presOf" srcId="{165B315B-A71D-449E-ACDB-7501070E9BE8}" destId="{DCF084E2-7889-4B86-87F1-DBD26CF52AAC}" srcOrd="0" destOrd="0" presId="urn:microsoft.com/office/officeart/2005/8/layout/hierarchy2"/>
    <dgm:cxn modelId="{A4C7446E-8988-4705-950F-4EC50294C7CF}" type="presOf" srcId="{8BDD9119-97C7-4CBD-BF6F-FFE63F292EE2}" destId="{A9A6D5DD-E60C-47BD-B9AA-1E1576BC69CF}" srcOrd="0" destOrd="0" presId="urn:microsoft.com/office/officeart/2005/8/layout/hierarchy2"/>
    <dgm:cxn modelId="{9EFE704A-661C-4607-AEA3-A9844C1D33A7}" srcId="{D99D5E9C-1700-4116-8789-3B012CD11F4B}" destId="{CE206449-8F94-4D51-9683-A690E70C78ED}" srcOrd="0" destOrd="0" parTransId="{F7F1FDE7-FD48-496D-81C2-671B6F40E615}" sibTransId="{617C1F02-AF18-4E9C-A5E4-E474593C929E}"/>
    <dgm:cxn modelId="{4B0BF463-A1BE-415F-B198-B7425AAE2CAA}" type="presOf" srcId="{1F963AD5-53AF-4C09-8B4D-86C919266EC1}" destId="{30B14ED1-CFDA-4C88-A89A-73683AFAE98E}" srcOrd="1" destOrd="0" presId="urn:microsoft.com/office/officeart/2005/8/layout/hierarchy2"/>
    <dgm:cxn modelId="{66041525-59B9-449F-8010-2F49ABC0B41D}" type="presOf" srcId="{A5D1DF02-67F6-4525-8C70-8F8B4AD18215}" destId="{D98DE2EE-B3D4-4ACB-BEF5-B3F5F2B25F1B}" srcOrd="0" destOrd="0" presId="urn:microsoft.com/office/officeart/2005/8/layout/hierarchy2"/>
    <dgm:cxn modelId="{492AEE5B-7446-4A9E-AB14-2D5935408CBA}" type="presOf" srcId="{A5D1DF02-67F6-4525-8C70-8F8B4AD18215}" destId="{8BC83C81-47DB-4C55-8EED-0B7911B0A0BD}" srcOrd="1" destOrd="0" presId="urn:microsoft.com/office/officeart/2005/8/layout/hierarchy2"/>
    <dgm:cxn modelId="{84B55F07-078F-4E01-8B12-3B87FEED3259}" type="presOf" srcId="{9F69D136-2B3A-49A3-B97E-C5DA6F6747A5}" destId="{8696DCFA-4CDA-4B8C-A462-DE8E4181E870}" srcOrd="1" destOrd="0" presId="urn:microsoft.com/office/officeart/2005/8/layout/hierarchy2"/>
    <dgm:cxn modelId="{2891D6D0-5DF7-4549-8663-70660961C734}" srcId="{CE206449-8F94-4D51-9683-A690E70C78ED}" destId="{918D36D4-F873-4EB8-A93D-9676AE339FE5}" srcOrd="2" destOrd="0" parTransId="{9F69D136-2B3A-49A3-B97E-C5DA6F6747A5}" sibTransId="{ECB9F3D3-3D16-45FF-965D-C18889592AFD}"/>
    <dgm:cxn modelId="{3784B67D-2250-49F1-BE06-31896FB8829C}" type="presOf" srcId="{C26A75A1-C264-449E-A7B3-BD4763EC1FC9}" destId="{74893BEA-2341-4B86-B0A9-12633EB5A3BD}" srcOrd="1" destOrd="0" presId="urn:microsoft.com/office/officeart/2005/8/layout/hierarchy2"/>
    <dgm:cxn modelId="{53294AC8-6366-4AAA-905D-F0E1755FEE97}" type="presOf" srcId="{45430863-8450-407C-9749-CAC48C009FE4}" destId="{A81C5D8E-BAD6-4553-B15A-CF756315DA08}" srcOrd="0" destOrd="0" presId="urn:microsoft.com/office/officeart/2005/8/layout/hierarchy2"/>
    <dgm:cxn modelId="{6137AD10-9865-45F6-90EF-FDA7992DBFDD}" type="presOf" srcId="{088DB5DA-EBF3-48D4-AA68-396584953520}" destId="{26526A74-B4F9-4706-A93B-E03652AA5170}" srcOrd="1" destOrd="0" presId="urn:microsoft.com/office/officeart/2005/8/layout/hierarchy2"/>
    <dgm:cxn modelId="{E2EA2246-0E72-4A84-AF59-19423C95CAA1}" type="presOf" srcId="{23CE54C5-040B-4352-A7EE-BBA85A4C9090}" destId="{61FD81A0-3EEF-4CCC-A4A2-C702FDC6BD56}" srcOrd="0" destOrd="0" presId="urn:microsoft.com/office/officeart/2005/8/layout/hierarchy2"/>
    <dgm:cxn modelId="{D5EBF8EC-85D1-4461-BF65-F544F441019B}" srcId="{D99D5E9C-1700-4116-8789-3B012CD11F4B}" destId="{B0340249-463F-431A-881E-97D7AAFE39F5}" srcOrd="1" destOrd="0" parTransId="{5DF27591-709B-4726-B22D-F85B3F259E23}" sibTransId="{E694EDD7-FF0D-42F1-A9B1-F0E7D576E4E3}"/>
    <dgm:cxn modelId="{F6C5CA79-1501-4E82-A1F1-79176DB08973}" srcId="{656A0ED6-668B-44B5-95A8-F88FE3FE0E65}" destId="{FDDAFE35-78C1-47D3-A07F-98B97C608984}" srcOrd="1" destOrd="0" parTransId="{E08BBEEB-7986-4C51-99EB-F4EBC946BD12}" sibTransId="{B7DADF9E-65AF-4D4C-90D7-DFC2FDC7B9F6}"/>
    <dgm:cxn modelId="{7BC8FB3E-A0BA-4886-B43A-D91E06935A18}" type="presOf" srcId="{87A4E541-D6B1-44D8-9BE9-D08134E3AD4A}" destId="{B0310831-D9CB-4520-8757-DE47CD107910}" srcOrd="1" destOrd="0" presId="urn:microsoft.com/office/officeart/2005/8/layout/hierarchy2"/>
    <dgm:cxn modelId="{2E06F3C3-677F-4616-844A-0B81D332FA88}" srcId="{656A0ED6-668B-44B5-95A8-F88FE3FE0E65}" destId="{60F93342-2E28-48F5-8374-248CA0706EDD}" srcOrd="0" destOrd="0" parTransId="{A5D1DF02-67F6-4525-8C70-8F8B4AD18215}" sibTransId="{AF6A05C0-C09B-448B-A8E0-51DE61AD611A}"/>
    <dgm:cxn modelId="{281F597F-5AC2-4A8B-8ADD-42D32DDCA762}" type="presOf" srcId="{558845CA-9EE1-4842-A399-C8881C0B1D60}" destId="{A0090604-DB51-4824-8E23-A7C01B82FAAF}" srcOrd="0" destOrd="0" presId="urn:microsoft.com/office/officeart/2005/8/layout/hierarchy2"/>
    <dgm:cxn modelId="{AC6C51F5-6A60-4267-AF01-A5959C387242}" type="presOf" srcId="{5ACDF275-384F-45A2-BD1A-02BCB6A418D6}" destId="{F792AB49-41D2-4804-AED3-7291B23E0486}" srcOrd="0" destOrd="0" presId="urn:microsoft.com/office/officeart/2005/8/layout/hierarchy2"/>
    <dgm:cxn modelId="{2CE478C3-245F-431D-889B-CAC3161C0572}" type="presOf" srcId="{9F69D136-2B3A-49A3-B97E-C5DA6F6747A5}" destId="{923AFB82-A108-454F-BE04-DBA7C2E97280}" srcOrd="0" destOrd="0" presId="urn:microsoft.com/office/officeart/2005/8/layout/hierarchy2"/>
    <dgm:cxn modelId="{22C586C9-310D-47B8-BD1F-54BAF953C9BD}" type="presOf" srcId="{B0340249-463F-431A-881E-97D7AAFE39F5}" destId="{78747D1B-853E-41EB-9CDF-138C924BD026}" srcOrd="0" destOrd="0" presId="urn:microsoft.com/office/officeart/2005/8/layout/hierarchy2"/>
    <dgm:cxn modelId="{6E30A797-45AD-4881-A60C-BF31569F3B40}" type="presOf" srcId="{E08BBEEB-7986-4C51-99EB-F4EBC946BD12}" destId="{8C01ECF9-C864-4728-B845-C1D1EEFB532D}" srcOrd="1" destOrd="0" presId="urn:microsoft.com/office/officeart/2005/8/layout/hierarchy2"/>
    <dgm:cxn modelId="{FEB1321E-20D5-4341-950B-84B42AE3DB31}" type="presOf" srcId="{5DF27591-709B-4726-B22D-F85B3F259E23}" destId="{92DFB907-A785-4CC2-8197-FA63ACD3D7AD}" srcOrd="0" destOrd="0" presId="urn:microsoft.com/office/officeart/2005/8/layout/hierarchy2"/>
    <dgm:cxn modelId="{EE34806A-ACC7-4D8E-A50A-A640FAD74FBD}" type="presOf" srcId="{E08BBEEB-7986-4C51-99EB-F4EBC946BD12}" destId="{964AF4C8-5CB4-40C7-A90B-9A1FFEE40F46}" srcOrd="0" destOrd="0" presId="urn:microsoft.com/office/officeart/2005/8/layout/hierarchy2"/>
    <dgm:cxn modelId="{BD9ADB08-B259-40B5-BE80-7BBBB645243B}" srcId="{CE206449-8F94-4D51-9683-A690E70C78ED}" destId="{165B315B-A71D-449E-ACDB-7501070E9BE8}" srcOrd="1" destOrd="0" parTransId="{1F963AD5-53AF-4C09-8B4D-86C919266EC1}" sibTransId="{ACBC2E9C-46B5-4CD6-B2EF-F580D766A225}"/>
    <dgm:cxn modelId="{A19E53BE-B875-482F-9CDD-BDA326C6E7C8}" type="presOf" srcId="{1F963AD5-53AF-4C09-8B4D-86C919266EC1}" destId="{CBB908CE-CDF1-49EF-A536-9628CCC8865D}" srcOrd="0" destOrd="0" presId="urn:microsoft.com/office/officeart/2005/8/layout/hierarchy2"/>
    <dgm:cxn modelId="{B3FCD041-5C8C-4C1B-BE2F-2570153110A1}" type="presOf" srcId="{EFEC4BD9-C25B-49BE-A8C8-93F943739B78}" destId="{45FAD744-6E6B-4877-B0D0-A0CFDD807393}" srcOrd="0" destOrd="0" presId="urn:microsoft.com/office/officeart/2005/8/layout/hierarchy2"/>
    <dgm:cxn modelId="{B57346BE-411E-4B92-A754-C69ACCD3A25F}" type="presOf" srcId="{7A7B86F4-CB62-4DC0-B156-63A3CFD8229F}" destId="{533144B8-F774-4F6E-97F5-548CD68213CE}" srcOrd="0" destOrd="0" presId="urn:microsoft.com/office/officeart/2005/8/layout/hierarchy2"/>
    <dgm:cxn modelId="{14C82213-1FC1-4171-9E94-7E34476DEECA}" type="presOf" srcId="{6C27CDB6-8439-41C2-A7C2-B86C7952F2D4}" destId="{328D69B1-71DD-488B-93C1-347AC84AD40D}" srcOrd="0" destOrd="0" presId="urn:microsoft.com/office/officeart/2005/8/layout/hierarchy2"/>
    <dgm:cxn modelId="{9AAAF97B-B4EE-4F1C-B4C6-EC358D553334}" type="presOf" srcId="{00AC90BD-ECF0-4BC5-985B-BD49C266B960}" destId="{BA565E7E-24B4-4A16-84C8-86675787C02D}" srcOrd="0" destOrd="0" presId="urn:microsoft.com/office/officeart/2005/8/layout/hierarchy2"/>
    <dgm:cxn modelId="{8AD01582-C76F-4CBD-9FC0-623BEBE617B8}" type="presOf" srcId="{F92C2D3F-33B6-414D-B55C-78E78786A85B}" destId="{344B5888-66FD-4EE9-9D86-8E7B814FE505}" srcOrd="1" destOrd="0" presId="urn:microsoft.com/office/officeart/2005/8/layout/hierarchy2"/>
    <dgm:cxn modelId="{617B0D53-EB3A-424E-91E7-8BA651B16E03}" type="presOf" srcId="{5ACDF275-384F-45A2-BD1A-02BCB6A418D6}" destId="{2DD90E68-FDD5-4612-99C3-C58D3ED17F77}" srcOrd="1" destOrd="0" presId="urn:microsoft.com/office/officeart/2005/8/layout/hierarchy2"/>
    <dgm:cxn modelId="{20B5E41A-89F8-4AD1-9AF3-A50837881302}" type="presOf" srcId="{D99D5E9C-1700-4116-8789-3B012CD11F4B}" destId="{12FEF0BD-58BF-410D-B4BF-D3E8DE8A27EF}" srcOrd="0" destOrd="0" presId="urn:microsoft.com/office/officeart/2005/8/layout/hierarchy2"/>
    <dgm:cxn modelId="{95E25878-9438-4699-995D-5EDC8AF8777C}" type="presOf" srcId="{EFEC4BD9-C25B-49BE-A8C8-93F943739B78}" destId="{12252F5F-D689-45D3-A119-D2B25D42BE3D}" srcOrd="1" destOrd="0" presId="urn:microsoft.com/office/officeart/2005/8/layout/hierarchy2"/>
    <dgm:cxn modelId="{2E901FA0-2874-4CEB-A8D4-CB834FC45845}" type="presOf" srcId="{F7F1FDE7-FD48-496D-81C2-671B6F40E615}" destId="{5CED22E9-86E6-4490-B2A1-6062E3C05929}" srcOrd="1" destOrd="0" presId="urn:microsoft.com/office/officeart/2005/8/layout/hierarchy2"/>
    <dgm:cxn modelId="{D2A7842D-1A92-4FD7-A744-80ABE8403524}" type="presOf" srcId="{088DB5DA-EBF3-48D4-AA68-396584953520}" destId="{4D079E4C-5DE0-4FA7-9F67-A9119C88A04C}" srcOrd="0" destOrd="0" presId="urn:microsoft.com/office/officeart/2005/8/layout/hierarchy2"/>
    <dgm:cxn modelId="{66F75BD2-6D3A-4A21-B730-36C001667E4F}" type="presParOf" srcId="{EE6DFCCE-DADF-4ABF-B492-FD87E6D3ED0C}" destId="{FF821AD0-463E-4117-A3DF-8D4A481C5634}" srcOrd="0" destOrd="0" presId="urn:microsoft.com/office/officeart/2005/8/layout/hierarchy2"/>
    <dgm:cxn modelId="{61B7FEF8-635C-4448-91DA-0218F1365EE5}" type="presParOf" srcId="{FF821AD0-463E-4117-A3DF-8D4A481C5634}" destId="{12FEF0BD-58BF-410D-B4BF-D3E8DE8A27EF}" srcOrd="0" destOrd="0" presId="urn:microsoft.com/office/officeart/2005/8/layout/hierarchy2"/>
    <dgm:cxn modelId="{A18A27EF-4673-4295-8DAD-B939DE81D0C9}" type="presParOf" srcId="{FF821AD0-463E-4117-A3DF-8D4A481C5634}" destId="{593935AD-CBA1-4F98-81A2-C00C1CA99979}" srcOrd="1" destOrd="0" presId="urn:microsoft.com/office/officeart/2005/8/layout/hierarchy2"/>
    <dgm:cxn modelId="{D72FE59F-085C-4EB2-888A-E09A466F3D95}" type="presParOf" srcId="{593935AD-CBA1-4F98-81A2-C00C1CA99979}" destId="{5C1EAA8B-BAF2-47F4-9D00-4EB996C382D0}" srcOrd="0" destOrd="0" presId="urn:microsoft.com/office/officeart/2005/8/layout/hierarchy2"/>
    <dgm:cxn modelId="{255EF23A-5D2B-471C-A95B-6AD95267FCCD}" type="presParOf" srcId="{5C1EAA8B-BAF2-47F4-9D00-4EB996C382D0}" destId="{5CED22E9-86E6-4490-B2A1-6062E3C05929}" srcOrd="0" destOrd="0" presId="urn:microsoft.com/office/officeart/2005/8/layout/hierarchy2"/>
    <dgm:cxn modelId="{B9D95C52-FDFD-498B-8F8D-55437EEA59E7}" type="presParOf" srcId="{593935AD-CBA1-4F98-81A2-C00C1CA99979}" destId="{90514100-04EE-4C43-882C-90464BD5D6D6}" srcOrd="1" destOrd="0" presId="urn:microsoft.com/office/officeart/2005/8/layout/hierarchy2"/>
    <dgm:cxn modelId="{B82C2B4D-0F14-4C59-9B5D-5F3325B8EDEC}" type="presParOf" srcId="{90514100-04EE-4C43-882C-90464BD5D6D6}" destId="{4B2576F6-E2D0-41A9-B88A-30E692D05AD1}" srcOrd="0" destOrd="0" presId="urn:microsoft.com/office/officeart/2005/8/layout/hierarchy2"/>
    <dgm:cxn modelId="{A70B445E-FE1D-42F1-B9C4-22D7906E4259}" type="presParOf" srcId="{90514100-04EE-4C43-882C-90464BD5D6D6}" destId="{0CBCA09F-12ED-496B-B69B-6609057B7829}" srcOrd="1" destOrd="0" presId="urn:microsoft.com/office/officeart/2005/8/layout/hierarchy2"/>
    <dgm:cxn modelId="{2E21EDE2-3BA8-452E-B1C5-D8EF233E9CFA}" type="presParOf" srcId="{0CBCA09F-12ED-496B-B69B-6609057B7829}" destId="{E00E43E9-01D8-424D-882B-4A506AE707B3}" srcOrd="0" destOrd="0" presId="urn:microsoft.com/office/officeart/2005/8/layout/hierarchy2"/>
    <dgm:cxn modelId="{619257B1-781A-4780-B38E-2624242CD001}" type="presParOf" srcId="{E00E43E9-01D8-424D-882B-4A506AE707B3}" destId="{344B5888-66FD-4EE9-9D86-8E7B814FE505}" srcOrd="0" destOrd="0" presId="urn:microsoft.com/office/officeart/2005/8/layout/hierarchy2"/>
    <dgm:cxn modelId="{6FE2463E-8107-4BB7-A0AF-2321DB5411C6}" type="presParOf" srcId="{0CBCA09F-12ED-496B-B69B-6609057B7829}" destId="{18ABDBB8-81BD-4D11-BB78-546A90034DAF}" srcOrd="1" destOrd="0" presId="urn:microsoft.com/office/officeart/2005/8/layout/hierarchy2"/>
    <dgm:cxn modelId="{95E912BF-00BE-4F07-9829-85322CAAD0F4}" type="presParOf" srcId="{18ABDBB8-81BD-4D11-BB78-546A90034DAF}" destId="{44B8D1D1-B153-4CE9-B5F8-5648D20E1CC9}" srcOrd="0" destOrd="0" presId="urn:microsoft.com/office/officeart/2005/8/layout/hierarchy2"/>
    <dgm:cxn modelId="{72D51E6F-2760-4F3C-829D-A481AA7A6994}" type="presParOf" srcId="{18ABDBB8-81BD-4D11-BB78-546A90034DAF}" destId="{C5057776-1F11-4810-BE48-E23A5AB7D078}" srcOrd="1" destOrd="0" presId="urn:microsoft.com/office/officeart/2005/8/layout/hierarchy2"/>
    <dgm:cxn modelId="{9371379D-8CA5-47F4-A738-4DB9CD745325}" type="presParOf" srcId="{0CBCA09F-12ED-496B-B69B-6609057B7829}" destId="{CBB908CE-CDF1-49EF-A536-9628CCC8865D}" srcOrd="2" destOrd="0" presId="urn:microsoft.com/office/officeart/2005/8/layout/hierarchy2"/>
    <dgm:cxn modelId="{EBCA6BA2-16B2-479E-9A17-7219559BFCFB}" type="presParOf" srcId="{CBB908CE-CDF1-49EF-A536-9628CCC8865D}" destId="{30B14ED1-CFDA-4C88-A89A-73683AFAE98E}" srcOrd="0" destOrd="0" presId="urn:microsoft.com/office/officeart/2005/8/layout/hierarchy2"/>
    <dgm:cxn modelId="{BC20ED8B-8D84-417E-92D8-27D5BC6C906B}" type="presParOf" srcId="{0CBCA09F-12ED-496B-B69B-6609057B7829}" destId="{5A0D1845-9557-4B10-905C-7F0B5CC9EE95}" srcOrd="3" destOrd="0" presId="urn:microsoft.com/office/officeart/2005/8/layout/hierarchy2"/>
    <dgm:cxn modelId="{0ADD386A-FF6A-4DF6-A56A-1C3DD053D26B}" type="presParOf" srcId="{5A0D1845-9557-4B10-905C-7F0B5CC9EE95}" destId="{DCF084E2-7889-4B86-87F1-DBD26CF52AAC}" srcOrd="0" destOrd="0" presId="urn:microsoft.com/office/officeart/2005/8/layout/hierarchy2"/>
    <dgm:cxn modelId="{877AD060-13E5-40A0-9B9A-A703E03C876F}" type="presParOf" srcId="{5A0D1845-9557-4B10-905C-7F0B5CC9EE95}" destId="{B69843C9-0605-497D-AA26-499E376D5795}" srcOrd="1" destOrd="0" presId="urn:microsoft.com/office/officeart/2005/8/layout/hierarchy2"/>
    <dgm:cxn modelId="{6B0AB053-EF38-4E51-AE6E-CCC38388459F}" type="presParOf" srcId="{B69843C9-0605-497D-AA26-499E376D5795}" destId="{F792AB49-41D2-4804-AED3-7291B23E0486}" srcOrd="0" destOrd="0" presId="urn:microsoft.com/office/officeart/2005/8/layout/hierarchy2"/>
    <dgm:cxn modelId="{7D99773B-242E-4440-BA93-132230335920}" type="presParOf" srcId="{F792AB49-41D2-4804-AED3-7291B23E0486}" destId="{2DD90E68-FDD5-4612-99C3-C58D3ED17F77}" srcOrd="0" destOrd="0" presId="urn:microsoft.com/office/officeart/2005/8/layout/hierarchy2"/>
    <dgm:cxn modelId="{0C53F98D-45DE-4DE6-8840-CA556659C061}" type="presParOf" srcId="{B69843C9-0605-497D-AA26-499E376D5795}" destId="{2E74EBC8-BF37-4D94-8B99-693FC93E41FA}" srcOrd="1" destOrd="0" presId="urn:microsoft.com/office/officeart/2005/8/layout/hierarchy2"/>
    <dgm:cxn modelId="{67F9988D-C088-4CFE-9F54-173EF42429D9}" type="presParOf" srcId="{2E74EBC8-BF37-4D94-8B99-693FC93E41FA}" destId="{BEB1DFBE-436A-49AE-BDA3-A37ABE2765C2}" srcOrd="0" destOrd="0" presId="urn:microsoft.com/office/officeart/2005/8/layout/hierarchy2"/>
    <dgm:cxn modelId="{44E42FE8-BB9D-4B5B-8855-339E38964978}" type="presParOf" srcId="{2E74EBC8-BF37-4D94-8B99-693FC93E41FA}" destId="{C0DE140F-AF2B-436D-86BD-CCBF759C3971}" srcOrd="1" destOrd="0" presId="urn:microsoft.com/office/officeart/2005/8/layout/hierarchy2"/>
    <dgm:cxn modelId="{5BBA2F5D-59C8-4CDF-8668-FDA7632A5261}" type="presParOf" srcId="{C0DE140F-AF2B-436D-86BD-CCBF759C3971}" destId="{D98DE2EE-B3D4-4ACB-BEF5-B3F5F2B25F1B}" srcOrd="0" destOrd="0" presId="urn:microsoft.com/office/officeart/2005/8/layout/hierarchy2"/>
    <dgm:cxn modelId="{9F69738C-94BD-4491-BE77-112DC91742DA}" type="presParOf" srcId="{D98DE2EE-B3D4-4ACB-BEF5-B3F5F2B25F1B}" destId="{8BC83C81-47DB-4C55-8EED-0B7911B0A0BD}" srcOrd="0" destOrd="0" presId="urn:microsoft.com/office/officeart/2005/8/layout/hierarchy2"/>
    <dgm:cxn modelId="{A42BF285-5FE8-4396-BE33-89B2390A1249}" type="presParOf" srcId="{C0DE140F-AF2B-436D-86BD-CCBF759C3971}" destId="{11C945F6-E88F-4F3F-814E-CC6C9D487509}" srcOrd="1" destOrd="0" presId="urn:microsoft.com/office/officeart/2005/8/layout/hierarchy2"/>
    <dgm:cxn modelId="{13E5CDE9-434A-4D2E-84F0-E9B6B3AF91BB}" type="presParOf" srcId="{11C945F6-E88F-4F3F-814E-CC6C9D487509}" destId="{574E1D18-5D9A-4924-B55A-48F6095FBD27}" srcOrd="0" destOrd="0" presId="urn:microsoft.com/office/officeart/2005/8/layout/hierarchy2"/>
    <dgm:cxn modelId="{CE28A0F6-C036-4419-89B2-7250C6DF8D29}" type="presParOf" srcId="{11C945F6-E88F-4F3F-814E-CC6C9D487509}" destId="{8916EC51-2557-4633-8693-D8AB911CE4EA}" srcOrd="1" destOrd="0" presId="urn:microsoft.com/office/officeart/2005/8/layout/hierarchy2"/>
    <dgm:cxn modelId="{02A0988E-D492-45CC-942D-F553459F9DE8}" type="presParOf" srcId="{C0DE140F-AF2B-436D-86BD-CCBF759C3971}" destId="{964AF4C8-5CB4-40C7-A90B-9A1FFEE40F46}" srcOrd="2" destOrd="0" presId="urn:microsoft.com/office/officeart/2005/8/layout/hierarchy2"/>
    <dgm:cxn modelId="{C4F4C140-6A06-4B33-8FC0-589882448982}" type="presParOf" srcId="{964AF4C8-5CB4-40C7-A90B-9A1FFEE40F46}" destId="{8C01ECF9-C864-4728-B845-C1D1EEFB532D}" srcOrd="0" destOrd="0" presId="urn:microsoft.com/office/officeart/2005/8/layout/hierarchy2"/>
    <dgm:cxn modelId="{FB512680-F229-4F5D-BCEB-7C78326B8902}" type="presParOf" srcId="{C0DE140F-AF2B-436D-86BD-CCBF759C3971}" destId="{83FB26CF-3F81-44D2-B681-5272175A0CFD}" srcOrd="3" destOrd="0" presId="urn:microsoft.com/office/officeart/2005/8/layout/hierarchy2"/>
    <dgm:cxn modelId="{3A52AAEA-9F74-4F49-88B3-F0B9A301B001}" type="presParOf" srcId="{83FB26CF-3F81-44D2-B681-5272175A0CFD}" destId="{D143450F-13AE-4F1F-A17D-8A10F9EA8613}" srcOrd="0" destOrd="0" presId="urn:microsoft.com/office/officeart/2005/8/layout/hierarchy2"/>
    <dgm:cxn modelId="{E69137A0-92AF-4825-9365-1D274DC1B7F8}" type="presParOf" srcId="{83FB26CF-3F81-44D2-B681-5272175A0CFD}" destId="{F73F0218-07AD-4610-B661-8DAEAF1486C8}" srcOrd="1" destOrd="0" presId="urn:microsoft.com/office/officeart/2005/8/layout/hierarchy2"/>
    <dgm:cxn modelId="{CA8A030A-D1A5-4421-8D91-4C89ACBD7016}" type="presParOf" srcId="{C0DE140F-AF2B-436D-86BD-CCBF759C3971}" destId="{45FAD744-6E6B-4877-B0D0-A0CFDD807393}" srcOrd="4" destOrd="0" presId="urn:microsoft.com/office/officeart/2005/8/layout/hierarchy2"/>
    <dgm:cxn modelId="{971B404F-C33D-47BE-A0B0-C88E9B103A27}" type="presParOf" srcId="{45FAD744-6E6B-4877-B0D0-A0CFDD807393}" destId="{12252F5F-D689-45D3-A119-D2B25D42BE3D}" srcOrd="0" destOrd="0" presId="urn:microsoft.com/office/officeart/2005/8/layout/hierarchy2"/>
    <dgm:cxn modelId="{171718BD-FDF9-4A2D-8F58-3E4E174CB155}" type="presParOf" srcId="{C0DE140F-AF2B-436D-86BD-CCBF759C3971}" destId="{D0C73EB9-7957-4757-AD99-9747AE9EE750}" srcOrd="5" destOrd="0" presId="urn:microsoft.com/office/officeart/2005/8/layout/hierarchy2"/>
    <dgm:cxn modelId="{158334F6-53DC-4560-B858-1C15BD2571D9}" type="presParOf" srcId="{D0C73EB9-7957-4757-AD99-9747AE9EE750}" destId="{328D69B1-71DD-488B-93C1-347AC84AD40D}" srcOrd="0" destOrd="0" presId="urn:microsoft.com/office/officeart/2005/8/layout/hierarchy2"/>
    <dgm:cxn modelId="{81142F1B-4BAF-4C51-B8F7-C78FCAF324FA}" type="presParOf" srcId="{D0C73EB9-7957-4757-AD99-9747AE9EE750}" destId="{B70B0DD2-FE9F-4271-8873-6E7B9B8A614E}" srcOrd="1" destOrd="0" presId="urn:microsoft.com/office/officeart/2005/8/layout/hierarchy2"/>
    <dgm:cxn modelId="{03EE1419-DFB8-4CC7-A8EE-1F13CD5F5E15}" type="presParOf" srcId="{C0DE140F-AF2B-436D-86BD-CCBF759C3971}" destId="{4C3F699B-4A8B-4512-8757-13E9D77B2E50}" srcOrd="6" destOrd="0" presId="urn:microsoft.com/office/officeart/2005/8/layout/hierarchy2"/>
    <dgm:cxn modelId="{710143BC-317E-4CEE-884F-3EE3B1DDAAD5}" type="presParOf" srcId="{4C3F699B-4A8B-4512-8757-13E9D77B2E50}" destId="{74893BEA-2341-4B86-B0A9-12633EB5A3BD}" srcOrd="0" destOrd="0" presId="urn:microsoft.com/office/officeart/2005/8/layout/hierarchy2"/>
    <dgm:cxn modelId="{0C89DED5-F9CC-41CF-B1CE-C45D545AC260}" type="presParOf" srcId="{C0DE140F-AF2B-436D-86BD-CCBF759C3971}" destId="{09A1AA4B-9316-48BD-8CBF-EF398321D3C5}" srcOrd="7" destOrd="0" presId="urn:microsoft.com/office/officeart/2005/8/layout/hierarchy2"/>
    <dgm:cxn modelId="{BE470479-A50E-4454-A74F-DE7BA403D47D}" type="presParOf" srcId="{09A1AA4B-9316-48BD-8CBF-EF398321D3C5}" destId="{A0090604-DB51-4824-8E23-A7C01B82FAAF}" srcOrd="0" destOrd="0" presId="urn:microsoft.com/office/officeart/2005/8/layout/hierarchy2"/>
    <dgm:cxn modelId="{8C3CF913-450D-4207-A35C-6346F23CFF14}" type="presParOf" srcId="{09A1AA4B-9316-48BD-8CBF-EF398321D3C5}" destId="{36C54B9E-CB37-415B-9989-B73549778140}" srcOrd="1" destOrd="0" presId="urn:microsoft.com/office/officeart/2005/8/layout/hierarchy2"/>
    <dgm:cxn modelId="{EAEF12C9-410F-42D9-9E18-DC30D3488378}" type="presParOf" srcId="{B69843C9-0605-497D-AA26-499E376D5795}" destId="{6613E9EA-0B75-42CA-9222-2DCE3C30C23D}" srcOrd="2" destOrd="0" presId="urn:microsoft.com/office/officeart/2005/8/layout/hierarchy2"/>
    <dgm:cxn modelId="{8F938AE6-3E16-4A6F-B8F9-EDF295038B0A}" type="presParOf" srcId="{6613E9EA-0B75-42CA-9222-2DCE3C30C23D}" destId="{B0310831-D9CB-4520-8757-DE47CD107910}" srcOrd="0" destOrd="0" presId="urn:microsoft.com/office/officeart/2005/8/layout/hierarchy2"/>
    <dgm:cxn modelId="{C3C67396-2950-43D6-9313-9EE2E4E48374}" type="presParOf" srcId="{B69843C9-0605-497D-AA26-499E376D5795}" destId="{57390104-5093-4179-8617-98066E7BE891}" srcOrd="3" destOrd="0" presId="urn:microsoft.com/office/officeart/2005/8/layout/hierarchy2"/>
    <dgm:cxn modelId="{7A8C44D4-27A6-490E-9D8D-A7027A39F0CF}" type="presParOf" srcId="{57390104-5093-4179-8617-98066E7BE891}" destId="{A81C5D8E-BAD6-4553-B15A-CF756315DA08}" srcOrd="0" destOrd="0" presId="urn:microsoft.com/office/officeart/2005/8/layout/hierarchy2"/>
    <dgm:cxn modelId="{C7B6FF08-2411-47FF-A178-81114F8E23E7}" type="presParOf" srcId="{57390104-5093-4179-8617-98066E7BE891}" destId="{6465E1E9-440D-44F0-BE11-C06DF09699A4}" srcOrd="1" destOrd="0" presId="urn:microsoft.com/office/officeart/2005/8/layout/hierarchy2"/>
    <dgm:cxn modelId="{87629BEA-D124-4A04-B9DF-8F73E84C2033}" type="presParOf" srcId="{6465E1E9-440D-44F0-BE11-C06DF09699A4}" destId="{EECA3E21-8DA5-41CB-BDC1-A950F938434D}" srcOrd="0" destOrd="0" presId="urn:microsoft.com/office/officeart/2005/8/layout/hierarchy2"/>
    <dgm:cxn modelId="{FCAF765F-FAC7-47EB-B442-0F5DBF7C2B21}" type="presParOf" srcId="{EECA3E21-8DA5-41CB-BDC1-A950F938434D}" destId="{889F5AFC-7A7E-41B0-821A-8A07B1BA411D}" srcOrd="0" destOrd="0" presId="urn:microsoft.com/office/officeart/2005/8/layout/hierarchy2"/>
    <dgm:cxn modelId="{5E168A1A-6A93-4D58-BCF1-F7A218C571AF}" type="presParOf" srcId="{6465E1E9-440D-44F0-BE11-C06DF09699A4}" destId="{4EFC64F9-2036-4FDE-8D4B-E1D5DF78CAB8}" srcOrd="1" destOrd="0" presId="urn:microsoft.com/office/officeart/2005/8/layout/hierarchy2"/>
    <dgm:cxn modelId="{38B9862A-F443-41F2-B89D-B75CAEAB9D96}" type="presParOf" srcId="{4EFC64F9-2036-4FDE-8D4B-E1D5DF78CAB8}" destId="{BA565E7E-24B4-4A16-84C8-86675787C02D}" srcOrd="0" destOrd="0" presId="urn:microsoft.com/office/officeart/2005/8/layout/hierarchy2"/>
    <dgm:cxn modelId="{BABDE20F-27C2-4761-8A40-5A01C9B1D960}" type="presParOf" srcId="{4EFC64F9-2036-4FDE-8D4B-E1D5DF78CAB8}" destId="{6BA21616-2A8A-4B52-BFC4-A120DA6824DF}" srcOrd="1" destOrd="0" presId="urn:microsoft.com/office/officeart/2005/8/layout/hierarchy2"/>
    <dgm:cxn modelId="{FA79D317-2FE5-4C4C-9F90-D9C59FB59B3B}" type="presParOf" srcId="{6465E1E9-440D-44F0-BE11-C06DF09699A4}" destId="{4D079E4C-5DE0-4FA7-9F67-A9119C88A04C}" srcOrd="2" destOrd="0" presId="urn:microsoft.com/office/officeart/2005/8/layout/hierarchy2"/>
    <dgm:cxn modelId="{D15E9681-AE95-42EA-A4A8-996C2AC032F3}" type="presParOf" srcId="{4D079E4C-5DE0-4FA7-9F67-A9119C88A04C}" destId="{26526A74-B4F9-4706-A93B-E03652AA5170}" srcOrd="0" destOrd="0" presId="urn:microsoft.com/office/officeart/2005/8/layout/hierarchy2"/>
    <dgm:cxn modelId="{09917854-04D7-4709-8143-EA4652BCBD97}" type="presParOf" srcId="{6465E1E9-440D-44F0-BE11-C06DF09699A4}" destId="{CF0A1C93-DDB7-42FE-997B-3B2B887C582B}" srcOrd="3" destOrd="0" presId="urn:microsoft.com/office/officeart/2005/8/layout/hierarchy2"/>
    <dgm:cxn modelId="{8D7CC2F1-D88A-43AE-9E54-8E2167AB8BEE}" type="presParOf" srcId="{CF0A1C93-DDB7-42FE-997B-3B2B887C582B}" destId="{A9A6D5DD-E60C-47BD-B9AA-1E1576BC69CF}" srcOrd="0" destOrd="0" presId="urn:microsoft.com/office/officeart/2005/8/layout/hierarchy2"/>
    <dgm:cxn modelId="{8CC78979-2682-46B6-93D4-44025A485005}" type="presParOf" srcId="{CF0A1C93-DDB7-42FE-997B-3B2B887C582B}" destId="{F66A3C62-E8DB-4929-B062-B5ACEA45D1C6}" srcOrd="1" destOrd="0" presId="urn:microsoft.com/office/officeart/2005/8/layout/hierarchy2"/>
    <dgm:cxn modelId="{9A47F05D-B0EA-4B62-99B3-64E54957CBC8}" type="presParOf" srcId="{6465E1E9-440D-44F0-BE11-C06DF09699A4}" destId="{533144B8-F774-4F6E-97F5-548CD68213CE}" srcOrd="4" destOrd="0" presId="urn:microsoft.com/office/officeart/2005/8/layout/hierarchy2"/>
    <dgm:cxn modelId="{733A3DB9-67F8-432F-B554-7BDD7E2F01AD}" type="presParOf" srcId="{533144B8-F774-4F6E-97F5-548CD68213CE}" destId="{FB17A95B-E89A-42EA-B256-4A506ECA19DA}" srcOrd="0" destOrd="0" presId="urn:microsoft.com/office/officeart/2005/8/layout/hierarchy2"/>
    <dgm:cxn modelId="{F7C49877-924D-4915-AB73-28B244318871}" type="presParOf" srcId="{6465E1E9-440D-44F0-BE11-C06DF09699A4}" destId="{7755010D-6BC7-4F87-AA08-EDBC6B925109}" srcOrd="5" destOrd="0" presId="urn:microsoft.com/office/officeart/2005/8/layout/hierarchy2"/>
    <dgm:cxn modelId="{7CB43B6F-25C5-4428-8201-890738718FBB}" type="presParOf" srcId="{7755010D-6BC7-4F87-AA08-EDBC6B925109}" destId="{61FD81A0-3EEF-4CCC-A4A2-C702FDC6BD56}" srcOrd="0" destOrd="0" presId="urn:microsoft.com/office/officeart/2005/8/layout/hierarchy2"/>
    <dgm:cxn modelId="{8072B15B-12E6-410E-ACB3-8C60FF388CB1}" type="presParOf" srcId="{7755010D-6BC7-4F87-AA08-EDBC6B925109}" destId="{F4001C0D-950B-47EA-B6C7-EEC870677E61}" srcOrd="1" destOrd="0" presId="urn:microsoft.com/office/officeart/2005/8/layout/hierarchy2"/>
    <dgm:cxn modelId="{F67C0D6A-F1F7-4C55-B6DE-02D92663F65F}" type="presParOf" srcId="{0CBCA09F-12ED-496B-B69B-6609057B7829}" destId="{923AFB82-A108-454F-BE04-DBA7C2E97280}" srcOrd="4" destOrd="0" presId="urn:microsoft.com/office/officeart/2005/8/layout/hierarchy2"/>
    <dgm:cxn modelId="{3F22AD48-2767-4E2A-91BD-5E0F6FD41374}" type="presParOf" srcId="{923AFB82-A108-454F-BE04-DBA7C2E97280}" destId="{8696DCFA-4CDA-4B8C-A462-DE8E4181E870}" srcOrd="0" destOrd="0" presId="urn:microsoft.com/office/officeart/2005/8/layout/hierarchy2"/>
    <dgm:cxn modelId="{62D69BD6-3970-4F3A-9976-9FFCE18D30EE}" type="presParOf" srcId="{0CBCA09F-12ED-496B-B69B-6609057B7829}" destId="{3A9B0A0B-BA66-4DF6-A6BF-46EA35AF0CA4}" srcOrd="5" destOrd="0" presId="urn:microsoft.com/office/officeart/2005/8/layout/hierarchy2"/>
    <dgm:cxn modelId="{2D2616D9-558E-4136-BE6D-E0BF2583DA2A}" type="presParOf" srcId="{3A9B0A0B-BA66-4DF6-A6BF-46EA35AF0CA4}" destId="{08E48E2F-FFE4-4A7D-ABD3-4E48F61F2C7A}" srcOrd="0" destOrd="0" presId="urn:microsoft.com/office/officeart/2005/8/layout/hierarchy2"/>
    <dgm:cxn modelId="{22CFD09B-5574-4FA6-8AA3-655E80AD6E99}" type="presParOf" srcId="{3A9B0A0B-BA66-4DF6-A6BF-46EA35AF0CA4}" destId="{F144D784-55FC-43ED-8C74-0E8740DBFDDA}" srcOrd="1" destOrd="0" presId="urn:microsoft.com/office/officeart/2005/8/layout/hierarchy2"/>
    <dgm:cxn modelId="{49AC352C-D684-406B-8CDC-E212714BD187}" type="presParOf" srcId="{593935AD-CBA1-4F98-81A2-C00C1CA99979}" destId="{92DFB907-A785-4CC2-8197-FA63ACD3D7AD}" srcOrd="2" destOrd="0" presId="urn:microsoft.com/office/officeart/2005/8/layout/hierarchy2"/>
    <dgm:cxn modelId="{CAB74CDC-C6A9-4DD9-95EF-F9DDD045F4CE}" type="presParOf" srcId="{92DFB907-A785-4CC2-8197-FA63ACD3D7AD}" destId="{5510694F-B115-4E1E-9BFF-863C4946DD3E}" srcOrd="0" destOrd="0" presId="urn:microsoft.com/office/officeart/2005/8/layout/hierarchy2"/>
    <dgm:cxn modelId="{061A92C4-3562-409A-A3D9-13238699D070}" type="presParOf" srcId="{593935AD-CBA1-4F98-81A2-C00C1CA99979}" destId="{7B93519F-29C0-4287-A8F7-4FBCE5E7DD61}" srcOrd="3" destOrd="0" presId="urn:microsoft.com/office/officeart/2005/8/layout/hierarchy2"/>
    <dgm:cxn modelId="{2A6B46BC-978E-4637-A394-DA17B198A3A1}" type="presParOf" srcId="{7B93519F-29C0-4287-A8F7-4FBCE5E7DD61}" destId="{78747D1B-853E-41EB-9CDF-138C924BD026}" srcOrd="0" destOrd="0" presId="urn:microsoft.com/office/officeart/2005/8/layout/hierarchy2"/>
    <dgm:cxn modelId="{DF073E29-C2F2-417E-8B2A-E0E02FFC86C3}" type="presParOf" srcId="{7B93519F-29C0-4287-A8F7-4FBCE5E7DD61}" destId="{E1ED70A3-8D1D-41E3-A1A4-FDB5CBE1BE25}" srcOrd="1" destOrd="0" presId="urn:microsoft.com/office/officeart/2005/8/layout/hierarchy2"/>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512A1BCF-C48E-41D4-B03E-E66ADF1E96B0}" type="doc">
      <dgm:prSet loTypeId="urn:microsoft.com/office/officeart/2005/8/layout/hierarchy2" loCatId="hierarchy" qsTypeId="urn:microsoft.com/office/officeart/2005/8/quickstyle/simple1" qsCatId="simple" csTypeId="urn:microsoft.com/office/officeart/2005/8/colors/accent0_1" csCatId="mainScheme" phldr="1"/>
      <dgm:spPr/>
      <dgm:t>
        <a:bodyPr/>
        <a:lstStyle/>
        <a:p>
          <a:endParaRPr lang="hu-HU"/>
        </a:p>
      </dgm:t>
    </dgm:pt>
    <dgm:pt modelId="{95DE81D0-2CA9-48A4-9C65-745586FCAF9D}">
      <dgm:prSet phldrT="[Szöveg]" custT="1"/>
      <dgm:spPr/>
      <dgm:t>
        <a:bodyPr/>
        <a:lstStyle/>
        <a:p>
          <a:r>
            <a:rPr lang="hu-HU" sz="1200">
              <a:latin typeface="Times New Roman" pitchFamily="18" charset="0"/>
              <a:cs typeface="Times New Roman" pitchFamily="18" charset="0"/>
            </a:rPr>
            <a:t>Környezetvédelmi adók</a:t>
          </a:r>
        </a:p>
      </dgm:t>
    </dgm:pt>
    <dgm:pt modelId="{717EDE95-DFCD-4F2E-ACB5-90C1E35A1D7B}" type="parTrans" cxnId="{B0514E93-FC52-4CA2-8289-A859F7479CC3}">
      <dgm:prSet/>
      <dgm:spPr/>
      <dgm:t>
        <a:bodyPr/>
        <a:lstStyle/>
        <a:p>
          <a:endParaRPr lang="hu-HU">
            <a:latin typeface="Times New Roman" pitchFamily="18" charset="0"/>
            <a:cs typeface="Times New Roman" pitchFamily="18" charset="0"/>
          </a:endParaRPr>
        </a:p>
      </dgm:t>
    </dgm:pt>
    <dgm:pt modelId="{BB2A5B42-D0E7-43B2-B7DA-8DB6ABCEF879}" type="sibTrans" cxnId="{B0514E93-FC52-4CA2-8289-A859F7479CC3}">
      <dgm:prSet/>
      <dgm:spPr/>
      <dgm:t>
        <a:bodyPr/>
        <a:lstStyle/>
        <a:p>
          <a:endParaRPr lang="hu-HU">
            <a:latin typeface="Times New Roman" pitchFamily="18" charset="0"/>
            <a:cs typeface="Times New Roman" pitchFamily="18" charset="0"/>
          </a:endParaRPr>
        </a:p>
      </dgm:t>
    </dgm:pt>
    <dgm:pt modelId="{9EC3B255-CE8B-4481-B99B-33B026896CF6}">
      <dgm:prSet phldrT="[Szöveg]" custT="1"/>
      <dgm:spPr/>
      <dgm:t>
        <a:bodyPr/>
        <a:lstStyle/>
        <a:p>
          <a:r>
            <a:rPr lang="hu-HU" sz="1200">
              <a:latin typeface="Times New Roman" pitchFamily="18" charset="0"/>
              <a:cs typeface="Times New Roman" pitchFamily="18" charset="0"/>
            </a:rPr>
            <a:t>Energiaadó</a:t>
          </a:r>
        </a:p>
      </dgm:t>
    </dgm:pt>
    <dgm:pt modelId="{047E8FA5-4CC8-4170-97CE-6541B19A4335}" type="parTrans" cxnId="{B83D41AF-ACAE-4F29-ADF2-5234C7EE81E9}">
      <dgm:prSet/>
      <dgm:spPr/>
      <dgm:t>
        <a:bodyPr/>
        <a:lstStyle/>
        <a:p>
          <a:endParaRPr lang="hu-HU">
            <a:latin typeface="Times New Roman" pitchFamily="18" charset="0"/>
            <a:cs typeface="Times New Roman" pitchFamily="18" charset="0"/>
          </a:endParaRPr>
        </a:p>
      </dgm:t>
    </dgm:pt>
    <dgm:pt modelId="{E186ECC9-EC8B-4F8F-A4F8-2DC8E3E3FA3D}" type="sibTrans" cxnId="{B83D41AF-ACAE-4F29-ADF2-5234C7EE81E9}">
      <dgm:prSet/>
      <dgm:spPr/>
      <dgm:t>
        <a:bodyPr/>
        <a:lstStyle/>
        <a:p>
          <a:endParaRPr lang="hu-HU">
            <a:latin typeface="Times New Roman" pitchFamily="18" charset="0"/>
            <a:cs typeface="Times New Roman" pitchFamily="18" charset="0"/>
          </a:endParaRPr>
        </a:p>
      </dgm:t>
    </dgm:pt>
    <dgm:pt modelId="{AEC668D4-B054-456E-9514-E7CFF7752887}">
      <dgm:prSet phldrT="[Szöveg]" custT="1"/>
      <dgm:spPr/>
      <dgm:t>
        <a:bodyPr/>
        <a:lstStyle/>
        <a:p>
          <a:r>
            <a:rPr lang="hu-HU" sz="1200">
              <a:latin typeface="Times New Roman" pitchFamily="18" charset="0"/>
              <a:cs typeface="Times New Roman" pitchFamily="18" charset="0"/>
            </a:rPr>
            <a:t>Közlekedési adók</a:t>
          </a:r>
        </a:p>
      </dgm:t>
    </dgm:pt>
    <dgm:pt modelId="{F0EC2D10-D592-40B4-8FDB-2B646B6393CD}" type="parTrans" cxnId="{7E2EC7F1-3360-495F-A5F7-F0E54C7433F9}">
      <dgm:prSet/>
      <dgm:spPr/>
      <dgm:t>
        <a:bodyPr/>
        <a:lstStyle/>
        <a:p>
          <a:endParaRPr lang="hu-HU">
            <a:latin typeface="Times New Roman" pitchFamily="18" charset="0"/>
            <a:cs typeface="Times New Roman" pitchFamily="18" charset="0"/>
          </a:endParaRPr>
        </a:p>
      </dgm:t>
    </dgm:pt>
    <dgm:pt modelId="{5A674BE9-BD3A-4B68-AD60-680C8C49FA08}" type="sibTrans" cxnId="{7E2EC7F1-3360-495F-A5F7-F0E54C7433F9}">
      <dgm:prSet/>
      <dgm:spPr/>
      <dgm:t>
        <a:bodyPr/>
        <a:lstStyle/>
        <a:p>
          <a:endParaRPr lang="hu-HU">
            <a:latin typeface="Times New Roman" pitchFamily="18" charset="0"/>
            <a:cs typeface="Times New Roman" pitchFamily="18" charset="0"/>
          </a:endParaRPr>
        </a:p>
      </dgm:t>
    </dgm:pt>
    <dgm:pt modelId="{D2010252-00A5-42F5-91D8-D31D8A464895}">
      <dgm:prSet phldrT="[Szöveg]" custT="1"/>
      <dgm:spPr/>
      <dgm:t>
        <a:bodyPr/>
        <a:lstStyle/>
        <a:p>
          <a:r>
            <a:rPr lang="hu-HU" sz="1200">
              <a:latin typeface="Times New Roman" pitchFamily="18" charset="0"/>
              <a:cs typeface="Times New Roman" pitchFamily="18" charset="0"/>
            </a:rPr>
            <a:t>Szennyezési adók</a:t>
          </a:r>
        </a:p>
      </dgm:t>
    </dgm:pt>
    <dgm:pt modelId="{AA356B29-6AB8-4011-B2AB-C54A8EA930C2}" type="parTrans" cxnId="{80796153-D72C-4B41-8188-1D07D9E62EAF}">
      <dgm:prSet/>
      <dgm:spPr/>
      <dgm:t>
        <a:bodyPr/>
        <a:lstStyle/>
        <a:p>
          <a:endParaRPr lang="hu-HU">
            <a:latin typeface="Times New Roman" pitchFamily="18" charset="0"/>
            <a:cs typeface="Times New Roman" pitchFamily="18" charset="0"/>
          </a:endParaRPr>
        </a:p>
      </dgm:t>
    </dgm:pt>
    <dgm:pt modelId="{4144E488-F32C-4DDD-B748-7B21E1BCCDB3}" type="sibTrans" cxnId="{80796153-D72C-4B41-8188-1D07D9E62EAF}">
      <dgm:prSet/>
      <dgm:spPr/>
      <dgm:t>
        <a:bodyPr/>
        <a:lstStyle/>
        <a:p>
          <a:endParaRPr lang="hu-HU">
            <a:latin typeface="Times New Roman" pitchFamily="18" charset="0"/>
            <a:cs typeface="Times New Roman" pitchFamily="18" charset="0"/>
          </a:endParaRPr>
        </a:p>
      </dgm:t>
    </dgm:pt>
    <dgm:pt modelId="{78983730-68F3-4FED-9236-9AD55B3C4540}">
      <dgm:prSet phldrT="[Szöveg]" custT="1"/>
      <dgm:spPr/>
      <dgm:t>
        <a:bodyPr/>
        <a:lstStyle/>
        <a:p>
          <a:r>
            <a:rPr lang="hu-HU" sz="1200" b="0">
              <a:solidFill>
                <a:sysClr val="windowText" lastClr="000000"/>
              </a:solidFill>
              <a:latin typeface="Times New Roman" pitchFamily="18" charset="0"/>
              <a:cs typeface="Times New Roman" pitchFamily="18" charset="0"/>
            </a:rPr>
            <a:t>Erőforrás adók</a:t>
          </a:r>
        </a:p>
      </dgm:t>
    </dgm:pt>
    <dgm:pt modelId="{7A517ECD-35C9-4BF4-843D-7C509181696B}" type="parTrans" cxnId="{954E82B6-6054-4DD6-B5C2-9F426C85B776}">
      <dgm:prSet/>
      <dgm:spPr/>
      <dgm:t>
        <a:bodyPr/>
        <a:lstStyle/>
        <a:p>
          <a:endParaRPr lang="hu-HU">
            <a:latin typeface="Times New Roman" pitchFamily="18" charset="0"/>
            <a:cs typeface="Times New Roman" pitchFamily="18" charset="0"/>
          </a:endParaRPr>
        </a:p>
      </dgm:t>
    </dgm:pt>
    <dgm:pt modelId="{E7141671-6D6A-41AB-8166-48853F0985B8}" type="sibTrans" cxnId="{954E82B6-6054-4DD6-B5C2-9F426C85B776}">
      <dgm:prSet/>
      <dgm:spPr/>
      <dgm:t>
        <a:bodyPr/>
        <a:lstStyle/>
        <a:p>
          <a:endParaRPr lang="hu-HU">
            <a:latin typeface="Times New Roman" pitchFamily="18" charset="0"/>
            <a:cs typeface="Times New Roman" pitchFamily="18" charset="0"/>
          </a:endParaRPr>
        </a:p>
      </dgm:t>
    </dgm:pt>
    <dgm:pt modelId="{E9D530F4-EBF3-48CE-BE69-7A766D3A27E1}">
      <dgm:prSet phldrT="[Szöveg]" custT="1"/>
      <dgm:spPr/>
      <dgm:t>
        <a:bodyPr/>
        <a:lstStyle/>
        <a:p>
          <a:r>
            <a:rPr lang="hu-HU" sz="1200" b="0">
              <a:solidFill>
                <a:sysClr val="windowText" lastClr="000000"/>
              </a:solidFill>
              <a:latin typeface="Times New Roman" pitchFamily="18" charset="0"/>
              <a:cs typeface="Times New Roman" pitchFamily="18" charset="0"/>
            </a:rPr>
            <a:t>Szénhidrogének adója</a:t>
          </a:r>
        </a:p>
      </dgm:t>
    </dgm:pt>
    <dgm:pt modelId="{CD2D5311-2A62-49C6-99C0-FEE89C43C872}" type="parTrans" cxnId="{695FE4B9-0D0B-4550-BC7F-399CD0235AB4}">
      <dgm:prSet/>
      <dgm:spPr/>
      <dgm:t>
        <a:bodyPr/>
        <a:lstStyle/>
        <a:p>
          <a:endParaRPr lang="hu-HU">
            <a:latin typeface="Times New Roman" pitchFamily="18" charset="0"/>
            <a:cs typeface="Times New Roman" pitchFamily="18" charset="0"/>
          </a:endParaRPr>
        </a:p>
      </dgm:t>
    </dgm:pt>
    <dgm:pt modelId="{5F3813E1-135F-4E6D-8B7B-2A92DD2FB9A0}" type="sibTrans" cxnId="{695FE4B9-0D0B-4550-BC7F-399CD0235AB4}">
      <dgm:prSet/>
      <dgm:spPr/>
      <dgm:t>
        <a:bodyPr/>
        <a:lstStyle/>
        <a:p>
          <a:endParaRPr lang="hu-HU">
            <a:latin typeface="Times New Roman" pitchFamily="18" charset="0"/>
            <a:cs typeface="Times New Roman" pitchFamily="18" charset="0"/>
          </a:endParaRPr>
        </a:p>
      </dgm:t>
    </dgm:pt>
    <dgm:pt modelId="{1816B0AC-F050-4324-8130-C586454B9F24}">
      <dgm:prSet phldrT="[Szöveg]" custT="1"/>
      <dgm:spPr/>
      <dgm:t>
        <a:bodyPr/>
        <a:lstStyle/>
        <a:p>
          <a:r>
            <a:rPr lang="hu-HU" sz="1200" b="0">
              <a:solidFill>
                <a:sysClr val="windowText" lastClr="000000"/>
              </a:solidFill>
              <a:latin typeface="Times New Roman" pitchFamily="18" charset="0"/>
              <a:cs typeface="Times New Roman" pitchFamily="18" charset="0"/>
            </a:rPr>
            <a:t>Fossil Fuel Levy (FFL)</a:t>
          </a:r>
        </a:p>
      </dgm:t>
    </dgm:pt>
    <dgm:pt modelId="{B0C23C0C-2BC4-44A9-952E-F3C8C15708B1}" type="parTrans" cxnId="{08A5FB1F-1FCC-416E-9E37-7408516CFF76}">
      <dgm:prSet/>
      <dgm:spPr/>
      <dgm:t>
        <a:bodyPr/>
        <a:lstStyle/>
        <a:p>
          <a:endParaRPr lang="hu-HU">
            <a:latin typeface="Times New Roman" pitchFamily="18" charset="0"/>
            <a:cs typeface="Times New Roman" pitchFamily="18" charset="0"/>
          </a:endParaRPr>
        </a:p>
      </dgm:t>
    </dgm:pt>
    <dgm:pt modelId="{47CA654D-B153-40D7-8848-8949E81D437D}" type="sibTrans" cxnId="{08A5FB1F-1FCC-416E-9E37-7408516CFF76}">
      <dgm:prSet/>
      <dgm:spPr/>
      <dgm:t>
        <a:bodyPr/>
        <a:lstStyle/>
        <a:p>
          <a:endParaRPr lang="hu-HU">
            <a:latin typeface="Times New Roman" pitchFamily="18" charset="0"/>
            <a:cs typeface="Times New Roman" pitchFamily="18" charset="0"/>
          </a:endParaRPr>
        </a:p>
      </dgm:t>
    </dgm:pt>
    <dgm:pt modelId="{D954A866-5AD4-4D2D-BDDF-3C6BD339BFCF}">
      <dgm:prSet phldrT="[Szöveg]" custT="1"/>
      <dgm:spPr/>
      <dgm:t>
        <a:bodyPr/>
        <a:lstStyle/>
        <a:p>
          <a:r>
            <a:rPr lang="hu-HU" sz="1200" b="0">
              <a:solidFill>
                <a:sysClr val="windowText" lastClr="000000"/>
              </a:solidFill>
              <a:latin typeface="Times New Roman" pitchFamily="18" charset="0"/>
              <a:cs typeface="Times New Roman" pitchFamily="18" charset="0"/>
            </a:rPr>
            <a:t>Climate Change Levy (CCL)</a:t>
          </a:r>
        </a:p>
      </dgm:t>
    </dgm:pt>
    <dgm:pt modelId="{F6B01E3E-D6B1-4752-AC94-7E07EEFC02A8}" type="parTrans" cxnId="{D69487CB-1F54-4634-8150-DEEFAE324B3F}">
      <dgm:prSet/>
      <dgm:spPr/>
      <dgm:t>
        <a:bodyPr/>
        <a:lstStyle/>
        <a:p>
          <a:endParaRPr lang="hu-HU">
            <a:latin typeface="Times New Roman" pitchFamily="18" charset="0"/>
            <a:cs typeface="Times New Roman" pitchFamily="18" charset="0"/>
          </a:endParaRPr>
        </a:p>
      </dgm:t>
    </dgm:pt>
    <dgm:pt modelId="{6FEA9F7D-6E46-4CC2-AE1E-57ED7D38C308}" type="sibTrans" cxnId="{D69487CB-1F54-4634-8150-DEEFAE324B3F}">
      <dgm:prSet/>
      <dgm:spPr/>
      <dgm:t>
        <a:bodyPr/>
        <a:lstStyle/>
        <a:p>
          <a:endParaRPr lang="hu-HU">
            <a:latin typeface="Times New Roman" pitchFamily="18" charset="0"/>
            <a:cs typeface="Times New Roman" pitchFamily="18" charset="0"/>
          </a:endParaRPr>
        </a:p>
      </dgm:t>
    </dgm:pt>
    <dgm:pt modelId="{D6C5AFF2-86CD-413E-A1E1-7AED152870BC}">
      <dgm:prSet phldrT="[Szöveg]" custT="1"/>
      <dgm:spPr/>
      <dgm:t>
        <a:bodyPr/>
        <a:lstStyle/>
        <a:p>
          <a:r>
            <a:rPr lang="hu-HU" sz="1200">
              <a:latin typeface="Times New Roman" pitchFamily="18" charset="0"/>
              <a:cs typeface="Times New Roman" pitchFamily="18" charset="0"/>
            </a:rPr>
            <a:t>Légiutas adó</a:t>
          </a:r>
        </a:p>
      </dgm:t>
    </dgm:pt>
    <dgm:pt modelId="{EA5F0D08-6F26-49FE-BA77-55A31BE0A04A}" type="parTrans" cxnId="{27D16C94-1F59-44EB-A8BF-D2D2D313E966}">
      <dgm:prSet/>
      <dgm:spPr/>
      <dgm:t>
        <a:bodyPr/>
        <a:lstStyle/>
        <a:p>
          <a:endParaRPr lang="hu-HU">
            <a:latin typeface="Times New Roman" pitchFamily="18" charset="0"/>
            <a:cs typeface="Times New Roman" pitchFamily="18" charset="0"/>
          </a:endParaRPr>
        </a:p>
      </dgm:t>
    </dgm:pt>
    <dgm:pt modelId="{0C93284B-7CAC-49E2-8B46-04A408BAE2F3}" type="sibTrans" cxnId="{27D16C94-1F59-44EB-A8BF-D2D2D313E966}">
      <dgm:prSet/>
      <dgm:spPr/>
      <dgm:t>
        <a:bodyPr/>
        <a:lstStyle/>
        <a:p>
          <a:endParaRPr lang="hu-HU">
            <a:latin typeface="Times New Roman" pitchFamily="18" charset="0"/>
            <a:cs typeface="Times New Roman" pitchFamily="18" charset="0"/>
          </a:endParaRPr>
        </a:p>
      </dgm:t>
    </dgm:pt>
    <dgm:pt modelId="{4703890D-B2C2-43DC-B2C9-B108660205BE}">
      <dgm:prSet phldrT="[Szöveg]" custT="1"/>
      <dgm:spPr/>
      <dgm:t>
        <a:bodyPr/>
        <a:lstStyle/>
        <a:p>
          <a:r>
            <a:rPr lang="hu-HU" sz="1200">
              <a:latin typeface="Times New Roman" pitchFamily="18" charset="0"/>
              <a:cs typeface="Times New Roman" pitchFamily="18" charset="0"/>
            </a:rPr>
            <a:t>Gépjármű excise duty (vállalati)</a:t>
          </a:r>
        </a:p>
      </dgm:t>
    </dgm:pt>
    <dgm:pt modelId="{CD977AE9-CBEA-4395-B5A4-85395C46FACF}" type="parTrans" cxnId="{A4A323C6-D5EC-418E-9B97-EBCDDD3F62D9}">
      <dgm:prSet/>
      <dgm:spPr/>
      <dgm:t>
        <a:bodyPr/>
        <a:lstStyle/>
        <a:p>
          <a:endParaRPr lang="hu-HU">
            <a:latin typeface="Times New Roman" pitchFamily="18" charset="0"/>
            <a:cs typeface="Times New Roman" pitchFamily="18" charset="0"/>
          </a:endParaRPr>
        </a:p>
      </dgm:t>
    </dgm:pt>
    <dgm:pt modelId="{553EDF51-0A0B-4679-975B-F15399B1C653}" type="sibTrans" cxnId="{A4A323C6-D5EC-418E-9B97-EBCDDD3F62D9}">
      <dgm:prSet/>
      <dgm:spPr/>
      <dgm:t>
        <a:bodyPr/>
        <a:lstStyle/>
        <a:p>
          <a:endParaRPr lang="hu-HU">
            <a:latin typeface="Times New Roman" pitchFamily="18" charset="0"/>
            <a:cs typeface="Times New Roman" pitchFamily="18" charset="0"/>
          </a:endParaRPr>
        </a:p>
      </dgm:t>
    </dgm:pt>
    <dgm:pt modelId="{25423E24-1C8D-420B-BFD7-DFC21BF8943C}">
      <dgm:prSet phldrT="[Szöveg]" custT="1"/>
      <dgm:spPr/>
      <dgm:t>
        <a:bodyPr/>
        <a:lstStyle/>
        <a:p>
          <a:r>
            <a:rPr lang="hu-HU" sz="1200">
              <a:latin typeface="Times New Roman" pitchFamily="18" charset="0"/>
              <a:cs typeface="Times New Roman" pitchFamily="18" charset="0"/>
            </a:rPr>
            <a:t>Gépjármű excise duty (háztartások)</a:t>
          </a:r>
        </a:p>
      </dgm:t>
    </dgm:pt>
    <dgm:pt modelId="{28C8C050-7D39-49B3-A612-975E1DD4CBCE}" type="parTrans" cxnId="{B8E2C38E-7FFC-4BFB-820C-AAF403FEC4F3}">
      <dgm:prSet/>
      <dgm:spPr/>
      <dgm:t>
        <a:bodyPr/>
        <a:lstStyle/>
        <a:p>
          <a:endParaRPr lang="hu-HU">
            <a:latin typeface="Times New Roman" pitchFamily="18" charset="0"/>
            <a:cs typeface="Times New Roman" pitchFamily="18" charset="0"/>
          </a:endParaRPr>
        </a:p>
      </dgm:t>
    </dgm:pt>
    <dgm:pt modelId="{E72F59CD-5FAC-4C70-9452-7E5B9DFE5AD1}" type="sibTrans" cxnId="{B8E2C38E-7FFC-4BFB-820C-AAF403FEC4F3}">
      <dgm:prSet/>
      <dgm:spPr/>
      <dgm:t>
        <a:bodyPr/>
        <a:lstStyle/>
        <a:p>
          <a:endParaRPr lang="hu-HU">
            <a:latin typeface="Times New Roman" pitchFamily="18" charset="0"/>
            <a:cs typeface="Times New Roman" pitchFamily="18" charset="0"/>
          </a:endParaRPr>
        </a:p>
      </dgm:t>
    </dgm:pt>
    <dgm:pt modelId="{324DD5CB-FDD0-4E2A-B6A4-BBDC256E7C8A}">
      <dgm:prSet phldrT="[Szöveg]" custT="1"/>
      <dgm:spPr/>
      <dgm:t>
        <a:bodyPr/>
        <a:lstStyle/>
        <a:p>
          <a:r>
            <a:rPr lang="hu-HU" sz="1200">
              <a:latin typeface="Times New Roman" pitchFamily="18" charset="0"/>
              <a:cs typeface="Times New Roman" pitchFamily="18" charset="0"/>
            </a:rPr>
            <a:t>A hulladéklerakókra kivetett adó</a:t>
          </a:r>
        </a:p>
      </dgm:t>
    </dgm:pt>
    <dgm:pt modelId="{0C470CEE-567B-4EB4-BB4E-41DC9D3E3614}" type="parTrans" cxnId="{C0AB8EF7-897A-436B-BF93-7BE78F26C572}">
      <dgm:prSet/>
      <dgm:spPr/>
      <dgm:t>
        <a:bodyPr/>
        <a:lstStyle/>
        <a:p>
          <a:endParaRPr lang="hu-HU">
            <a:latin typeface="Times New Roman" pitchFamily="18" charset="0"/>
            <a:cs typeface="Times New Roman" pitchFamily="18" charset="0"/>
          </a:endParaRPr>
        </a:p>
      </dgm:t>
    </dgm:pt>
    <dgm:pt modelId="{D1D32522-3884-4AA3-934F-54F2648B1558}" type="sibTrans" cxnId="{C0AB8EF7-897A-436B-BF93-7BE78F26C572}">
      <dgm:prSet/>
      <dgm:spPr/>
      <dgm:t>
        <a:bodyPr/>
        <a:lstStyle/>
        <a:p>
          <a:endParaRPr lang="hu-HU">
            <a:latin typeface="Times New Roman" pitchFamily="18" charset="0"/>
            <a:cs typeface="Times New Roman" pitchFamily="18" charset="0"/>
          </a:endParaRPr>
        </a:p>
      </dgm:t>
    </dgm:pt>
    <dgm:pt modelId="{2EA7126F-6DE2-47D9-B8A1-CA3426A7E1B7}">
      <dgm:prSet phldrT="[Szöveg]" custT="1"/>
      <dgm:spPr/>
      <dgm:t>
        <a:bodyPr/>
        <a:lstStyle/>
        <a:p>
          <a:r>
            <a:rPr lang="hu-HU" sz="1200" b="0">
              <a:solidFill>
                <a:sysClr val="windowText" lastClr="000000"/>
              </a:solidFill>
              <a:latin typeface="Times New Roman" pitchFamily="18" charset="0"/>
              <a:cs typeface="Times New Roman" pitchFamily="18" charset="0"/>
            </a:rPr>
            <a:t>Az adalékanyagok adója</a:t>
          </a:r>
        </a:p>
      </dgm:t>
    </dgm:pt>
    <dgm:pt modelId="{CB7EC624-1335-453E-B891-4274693074B7}" type="parTrans" cxnId="{349CB1A5-8200-4A3D-AB5C-EE07C61158E4}">
      <dgm:prSet/>
      <dgm:spPr/>
      <dgm:t>
        <a:bodyPr/>
        <a:lstStyle/>
        <a:p>
          <a:endParaRPr lang="hu-HU">
            <a:latin typeface="Times New Roman" pitchFamily="18" charset="0"/>
            <a:cs typeface="Times New Roman" pitchFamily="18" charset="0"/>
          </a:endParaRPr>
        </a:p>
      </dgm:t>
    </dgm:pt>
    <dgm:pt modelId="{33E74D34-08CA-4E20-A256-2ABC8773E41D}" type="sibTrans" cxnId="{349CB1A5-8200-4A3D-AB5C-EE07C61158E4}">
      <dgm:prSet/>
      <dgm:spPr/>
      <dgm:t>
        <a:bodyPr/>
        <a:lstStyle/>
        <a:p>
          <a:endParaRPr lang="hu-HU">
            <a:latin typeface="Times New Roman" pitchFamily="18" charset="0"/>
            <a:cs typeface="Times New Roman" pitchFamily="18" charset="0"/>
          </a:endParaRPr>
        </a:p>
      </dgm:t>
    </dgm:pt>
    <dgm:pt modelId="{23E581BD-3B4E-40C3-BB1D-79E2D6E3613E}" type="pres">
      <dgm:prSet presAssocID="{512A1BCF-C48E-41D4-B03E-E66ADF1E96B0}" presName="diagram" presStyleCnt="0">
        <dgm:presLayoutVars>
          <dgm:chPref val="1"/>
          <dgm:dir/>
          <dgm:animOne val="branch"/>
          <dgm:animLvl val="lvl"/>
          <dgm:resizeHandles val="exact"/>
        </dgm:presLayoutVars>
      </dgm:prSet>
      <dgm:spPr/>
      <dgm:t>
        <a:bodyPr/>
        <a:lstStyle/>
        <a:p>
          <a:endParaRPr lang="hu-HU"/>
        </a:p>
      </dgm:t>
    </dgm:pt>
    <dgm:pt modelId="{C2DA2565-0E44-4379-85BB-A87520F7F0F2}" type="pres">
      <dgm:prSet presAssocID="{95DE81D0-2CA9-48A4-9C65-745586FCAF9D}" presName="root1" presStyleCnt="0"/>
      <dgm:spPr/>
    </dgm:pt>
    <dgm:pt modelId="{743431BE-84EE-4FD6-B77F-48EF1FEA7B33}" type="pres">
      <dgm:prSet presAssocID="{95DE81D0-2CA9-48A4-9C65-745586FCAF9D}" presName="LevelOneTextNode" presStyleLbl="node0" presStyleIdx="0" presStyleCnt="1" custScaleX="167645" custScaleY="109606" custLinFactX="-64497" custLinFactNeighborX="-100000" custLinFactNeighborY="-16180">
        <dgm:presLayoutVars>
          <dgm:chPref val="3"/>
        </dgm:presLayoutVars>
      </dgm:prSet>
      <dgm:spPr/>
      <dgm:t>
        <a:bodyPr/>
        <a:lstStyle/>
        <a:p>
          <a:endParaRPr lang="hu-HU"/>
        </a:p>
      </dgm:t>
    </dgm:pt>
    <dgm:pt modelId="{75661511-AFC7-48FB-BC09-3AD08CD0F217}" type="pres">
      <dgm:prSet presAssocID="{95DE81D0-2CA9-48A4-9C65-745586FCAF9D}" presName="level2hierChild" presStyleCnt="0"/>
      <dgm:spPr/>
    </dgm:pt>
    <dgm:pt modelId="{8E5BAC1A-7592-4E60-B9C6-1A07A3BD6FEE}" type="pres">
      <dgm:prSet presAssocID="{047E8FA5-4CC8-4170-97CE-6541B19A4335}" presName="conn2-1" presStyleLbl="parChTrans1D2" presStyleIdx="0" presStyleCnt="4"/>
      <dgm:spPr/>
      <dgm:t>
        <a:bodyPr/>
        <a:lstStyle/>
        <a:p>
          <a:endParaRPr lang="hu-HU"/>
        </a:p>
      </dgm:t>
    </dgm:pt>
    <dgm:pt modelId="{EB371CDA-FD9C-428A-B51E-5156ADBE2135}" type="pres">
      <dgm:prSet presAssocID="{047E8FA5-4CC8-4170-97CE-6541B19A4335}" presName="connTx" presStyleLbl="parChTrans1D2" presStyleIdx="0" presStyleCnt="4"/>
      <dgm:spPr/>
      <dgm:t>
        <a:bodyPr/>
        <a:lstStyle/>
        <a:p>
          <a:endParaRPr lang="hu-HU"/>
        </a:p>
      </dgm:t>
    </dgm:pt>
    <dgm:pt modelId="{8DD5E880-9185-4B34-AC3F-051FFE826EB2}" type="pres">
      <dgm:prSet presAssocID="{9EC3B255-CE8B-4481-B99B-33B026896CF6}" presName="root2" presStyleCnt="0"/>
      <dgm:spPr/>
    </dgm:pt>
    <dgm:pt modelId="{6FBAE30C-64B9-4A79-A13E-D2134F42CE0C}" type="pres">
      <dgm:prSet presAssocID="{9EC3B255-CE8B-4481-B99B-33B026896CF6}" presName="LevelTwoTextNode" presStyleLbl="node2" presStyleIdx="0" presStyleCnt="4" custScaleX="164725" custScaleY="114986" custLinFactNeighborX="-6161" custLinFactNeighborY="-1447">
        <dgm:presLayoutVars>
          <dgm:chPref val="3"/>
        </dgm:presLayoutVars>
      </dgm:prSet>
      <dgm:spPr/>
      <dgm:t>
        <a:bodyPr/>
        <a:lstStyle/>
        <a:p>
          <a:endParaRPr lang="hu-HU"/>
        </a:p>
      </dgm:t>
    </dgm:pt>
    <dgm:pt modelId="{47DC621F-DDC5-4871-BC50-D5C4E45BE4C8}" type="pres">
      <dgm:prSet presAssocID="{9EC3B255-CE8B-4481-B99B-33B026896CF6}" presName="level3hierChild" presStyleCnt="0"/>
      <dgm:spPr/>
    </dgm:pt>
    <dgm:pt modelId="{E8CB3D3E-B6A2-493E-9E07-00CBCC745CE5}" type="pres">
      <dgm:prSet presAssocID="{CD2D5311-2A62-49C6-99C0-FEE89C43C872}" presName="conn2-1" presStyleLbl="parChTrans1D3" presStyleIdx="0" presStyleCnt="8"/>
      <dgm:spPr/>
      <dgm:t>
        <a:bodyPr/>
        <a:lstStyle/>
        <a:p>
          <a:endParaRPr lang="hu-HU"/>
        </a:p>
      </dgm:t>
    </dgm:pt>
    <dgm:pt modelId="{C4F16159-9D1C-4CDA-973D-7A954A92ED32}" type="pres">
      <dgm:prSet presAssocID="{CD2D5311-2A62-49C6-99C0-FEE89C43C872}" presName="connTx" presStyleLbl="parChTrans1D3" presStyleIdx="0" presStyleCnt="8"/>
      <dgm:spPr/>
      <dgm:t>
        <a:bodyPr/>
        <a:lstStyle/>
        <a:p>
          <a:endParaRPr lang="hu-HU"/>
        </a:p>
      </dgm:t>
    </dgm:pt>
    <dgm:pt modelId="{68D8281A-1DCD-4BB8-A01C-A597846FB93D}" type="pres">
      <dgm:prSet presAssocID="{E9D530F4-EBF3-48CE-BE69-7A766D3A27E1}" presName="root2" presStyleCnt="0"/>
      <dgm:spPr/>
    </dgm:pt>
    <dgm:pt modelId="{3AF72677-4E80-46D0-9A05-FA54EEB9FDBC}" type="pres">
      <dgm:prSet presAssocID="{E9D530F4-EBF3-48CE-BE69-7A766D3A27E1}" presName="LevelTwoTextNode" presStyleLbl="node3" presStyleIdx="0" presStyleCnt="8" custScaleX="241525" custLinFactNeighborX="69437" custLinFactNeighborY="13680">
        <dgm:presLayoutVars>
          <dgm:chPref val="3"/>
        </dgm:presLayoutVars>
      </dgm:prSet>
      <dgm:spPr/>
      <dgm:t>
        <a:bodyPr/>
        <a:lstStyle/>
        <a:p>
          <a:endParaRPr lang="hu-HU"/>
        </a:p>
      </dgm:t>
    </dgm:pt>
    <dgm:pt modelId="{2CB5D6D3-8D9F-4787-B4B2-7AF6CB5E4A0A}" type="pres">
      <dgm:prSet presAssocID="{E9D530F4-EBF3-48CE-BE69-7A766D3A27E1}" presName="level3hierChild" presStyleCnt="0"/>
      <dgm:spPr/>
    </dgm:pt>
    <dgm:pt modelId="{51BC11A0-682A-4F09-8AA1-F97170AEAD1A}" type="pres">
      <dgm:prSet presAssocID="{B0C23C0C-2BC4-44A9-952E-F3C8C15708B1}" presName="conn2-1" presStyleLbl="parChTrans1D3" presStyleIdx="1" presStyleCnt="8"/>
      <dgm:spPr/>
      <dgm:t>
        <a:bodyPr/>
        <a:lstStyle/>
        <a:p>
          <a:endParaRPr lang="hu-HU"/>
        </a:p>
      </dgm:t>
    </dgm:pt>
    <dgm:pt modelId="{0844C586-61EB-4CB1-9510-9AA5A1E8E323}" type="pres">
      <dgm:prSet presAssocID="{B0C23C0C-2BC4-44A9-952E-F3C8C15708B1}" presName="connTx" presStyleLbl="parChTrans1D3" presStyleIdx="1" presStyleCnt="8"/>
      <dgm:spPr/>
      <dgm:t>
        <a:bodyPr/>
        <a:lstStyle/>
        <a:p>
          <a:endParaRPr lang="hu-HU"/>
        </a:p>
      </dgm:t>
    </dgm:pt>
    <dgm:pt modelId="{BB30D69B-7E76-4AF8-8D19-B4B4CABCB915}" type="pres">
      <dgm:prSet presAssocID="{1816B0AC-F050-4324-8130-C586454B9F24}" presName="root2" presStyleCnt="0"/>
      <dgm:spPr/>
    </dgm:pt>
    <dgm:pt modelId="{C7214CFF-4613-47F8-8CB9-6C6CF0BFCC6D}" type="pres">
      <dgm:prSet presAssocID="{1816B0AC-F050-4324-8130-C586454B9F24}" presName="LevelTwoTextNode" presStyleLbl="node3" presStyleIdx="1" presStyleCnt="8" custScaleX="241525" custLinFactNeighborX="72173" custLinFactNeighborY="8208">
        <dgm:presLayoutVars>
          <dgm:chPref val="3"/>
        </dgm:presLayoutVars>
      </dgm:prSet>
      <dgm:spPr/>
      <dgm:t>
        <a:bodyPr/>
        <a:lstStyle/>
        <a:p>
          <a:endParaRPr lang="hu-HU"/>
        </a:p>
      </dgm:t>
    </dgm:pt>
    <dgm:pt modelId="{764B97F7-7FA6-4003-9A68-ABC3496FB259}" type="pres">
      <dgm:prSet presAssocID="{1816B0AC-F050-4324-8130-C586454B9F24}" presName="level3hierChild" presStyleCnt="0"/>
      <dgm:spPr/>
    </dgm:pt>
    <dgm:pt modelId="{5E62C546-5F62-475B-BC7A-1F64BD589206}" type="pres">
      <dgm:prSet presAssocID="{F6B01E3E-D6B1-4752-AC94-7E07EEFC02A8}" presName="conn2-1" presStyleLbl="parChTrans1D3" presStyleIdx="2" presStyleCnt="8"/>
      <dgm:spPr/>
      <dgm:t>
        <a:bodyPr/>
        <a:lstStyle/>
        <a:p>
          <a:endParaRPr lang="hu-HU"/>
        </a:p>
      </dgm:t>
    </dgm:pt>
    <dgm:pt modelId="{CA7DF405-C950-4DA0-9912-1AD2A43A3F95}" type="pres">
      <dgm:prSet presAssocID="{F6B01E3E-D6B1-4752-AC94-7E07EEFC02A8}" presName="connTx" presStyleLbl="parChTrans1D3" presStyleIdx="2" presStyleCnt="8"/>
      <dgm:spPr/>
      <dgm:t>
        <a:bodyPr/>
        <a:lstStyle/>
        <a:p>
          <a:endParaRPr lang="hu-HU"/>
        </a:p>
      </dgm:t>
    </dgm:pt>
    <dgm:pt modelId="{C4B2301E-1793-48A8-B271-1E09B6404E42}" type="pres">
      <dgm:prSet presAssocID="{D954A866-5AD4-4D2D-BDDF-3C6BD339BFCF}" presName="root2" presStyleCnt="0"/>
      <dgm:spPr/>
    </dgm:pt>
    <dgm:pt modelId="{6A9AD2CE-7962-45EA-A81A-0B3531162096}" type="pres">
      <dgm:prSet presAssocID="{D954A866-5AD4-4D2D-BDDF-3C6BD339BFCF}" presName="LevelTwoTextNode" presStyleLbl="node3" presStyleIdx="2" presStyleCnt="8" custScaleX="246997" custLinFactNeighborX="66701" custLinFactNeighborY="2736">
        <dgm:presLayoutVars>
          <dgm:chPref val="3"/>
        </dgm:presLayoutVars>
      </dgm:prSet>
      <dgm:spPr/>
      <dgm:t>
        <a:bodyPr/>
        <a:lstStyle/>
        <a:p>
          <a:endParaRPr lang="hu-HU"/>
        </a:p>
      </dgm:t>
    </dgm:pt>
    <dgm:pt modelId="{8FCAE979-B0CB-495F-918A-738351BB5AC9}" type="pres">
      <dgm:prSet presAssocID="{D954A866-5AD4-4D2D-BDDF-3C6BD339BFCF}" presName="level3hierChild" presStyleCnt="0"/>
      <dgm:spPr/>
    </dgm:pt>
    <dgm:pt modelId="{4709483C-0C1A-4688-AC35-399982118C7E}" type="pres">
      <dgm:prSet presAssocID="{F0EC2D10-D592-40B4-8FDB-2B646B6393CD}" presName="conn2-1" presStyleLbl="parChTrans1D2" presStyleIdx="1" presStyleCnt="4"/>
      <dgm:spPr/>
      <dgm:t>
        <a:bodyPr/>
        <a:lstStyle/>
        <a:p>
          <a:endParaRPr lang="hu-HU"/>
        </a:p>
      </dgm:t>
    </dgm:pt>
    <dgm:pt modelId="{B9048DA2-DFB7-4657-BC8B-2CA913C9D4A4}" type="pres">
      <dgm:prSet presAssocID="{F0EC2D10-D592-40B4-8FDB-2B646B6393CD}" presName="connTx" presStyleLbl="parChTrans1D2" presStyleIdx="1" presStyleCnt="4"/>
      <dgm:spPr/>
      <dgm:t>
        <a:bodyPr/>
        <a:lstStyle/>
        <a:p>
          <a:endParaRPr lang="hu-HU"/>
        </a:p>
      </dgm:t>
    </dgm:pt>
    <dgm:pt modelId="{A9D9CBA8-9ABE-4811-8F82-E4BADD639F77}" type="pres">
      <dgm:prSet presAssocID="{AEC668D4-B054-456E-9514-E7CFF7752887}" presName="root2" presStyleCnt="0"/>
      <dgm:spPr/>
    </dgm:pt>
    <dgm:pt modelId="{840A8A24-B84C-441B-8F7B-C474EED0ED31}" type="pres">
      <dgm:prSet presAssocID="{AEC668D4-B054-456E-9514-E7CFF7752887}" presName="LevelTwoTextNode" presStyleLbl="node2" presStyleIdx="1" presStyleCnt="4" custScaleX="164273" custScaleY="98819" custLinFactNeighborX="59259" custLinFactNeighborY="-15520">
        <dgm:presLayoutVars>
          <dgm:chPref val="3"/>
        </dgm:presLayoutVars>
      </dgm:prSet>
      <dgm:spPr/>
      <dgm:t>
        <a:bodyPr/>
        <a:lstStyle/>
        <a:p>
          <a:endParaRPr lang="hu-HU"/>
        </a:p>
      </dgm:t>
    </dgm:pt>
    <dgm:pt modelId="{E2F5F439-156C-4994-82B3-909C81C8004C}" type="pres">
      <dgm:prSet presAssocID="{AEC668D4-B054-456E-9514-E7CFF7752887}" presName="level3hierChild" presStyleCnt="0"/>
      <dgm:spPr/>
    </dgm:pt>
    <dgm:pt modelId="{D2F52BED-2DA0-49EA-A3C6-D59EB95D26FA}" type="pres">
      <dgm:prSet presAssocID="{EA5F0D08-6F26-49FE-BA77-55A31BE0A04A}" presName="conn2-1" presStyleLbl="parChTrans1D3" presStyleIdx="3" presStyleCnt="8"/>
      <dgm:spPr/>
      <dgm:t>
        <a:bodyPr/>
        <a:lstStyle/>
        <a:p>
          <a:endParaRPr lang="hu-HU"/>
        </a:p>
      </dgm:t>
    </dgm:pt>
    <dgm:pt modelId="{BFA1E4F2-0E66-4CEE-8013-99607B78A262}" type="pres">
      <dgm:prSet presAssocID="{EA5F0D08-6F26-49FE-BA77-55A31BE0A04A}" presName="connTx" presStyleLbl="parChTrans1D3" presStyleIdx="3" presStyleCnt="8"/>
      <dgm:spPr/>
      <dgm:t>
        <a:bodyPr/>
        <a:lstStyle/>
        <a:p>
          <a:endParaRPr lang="hu-HU"/>
        </a:p>
      </dgm:t>
    </dgm:pt>
    <dgm:pt modelId="{061A249A-5E27-4B82-9FF2-4653936F0E24}" type="pres">
      <dgm:prSet presAssocID="{D6C5AFF2-86CD-413E-A1E1-7AED152870BC}" presName="root2" presStyleCnt="0"/>
      <dgm:spPr/>
    </dgm:pt>
    <dgm:pt modelId="{A9777576-3538-4E35-9DD0-85EA42034D87}" type="pres">
      <dgm:prSet presAssocID="{D6C5AFF2-86CD-413E-A1E1-7AED152870BC}" presName="LevelTwoTextNode" presStyleLbl="node3" presStyleIdx="3" presStyleCnt="8" custScaleX="244713" custLinFactNeighborX="66701" custLinFactNeighborY="8208">
        <dgm:presLayoutVars>
          <dgm:chPref val="3"/>
        </dgm:presLayoutVars>
      </dgm:prSet>
      <dgm:spPr/>
      <dgm:t>
        <a:bodyPr/>
        <a:lstStyle/>
        <a:p>
          <a:endParaRPr lang="hu-HU"/>
        </a:p>
      </dgm:t>
    </dgm:pt>
    <dgm:pt modelId="{FCD81F32-9D36-48DF-BBD9-9845AC5B9E9E}" type="pres">
      <dgm:prSet presAssocID="{D6C5AFF2-86CD-413E-A1E1-7AED152870BC}" presName="level3hierChild" presStyleCnt="0"/>
      <dgm:spPr/>
    </dgm:pt>
    <dgm:pt modelId="{70F6437D-7DDD-4E7A-A124-C0697D74C4FD}" type="pres">
      <dgm:prSet presAssocID="{CD977AE9-CBEA-4395-B5A4-85395C46FACF}" presName="conn2-1" presStyleLbl="parChTrans1D3" presStyleIdx="4" presStyleCnt="8"/>
      <dgm:spPr/>
      <dgm:t>
        <a:bodyPr/>
        <a:lstStyle/>
        <a:p>
          <a:endParaRPr lang="hu-HU"/>
        </a:p>
      </dgm:t>
    </dgm:pt>
    <dgm:pt modelId="{5593449D-BEE5-4BD6-9B6B-869764167804}" type="pres">
      <dgm:prSet presAssocID="{CD977AE9-CBEA-4395-B5A4-85395C46FACF}" presName="connTx" presStyleLbl="parChTrans1D3" presStyleIdx="4" presStyleCnt="8"/>
      <dgm:spPr/>
      <dgm:t>
        <a:bodyPr/>
        <a:lstStyle/>
        <a:p>
          <a:endParaRPr lang="hu-HU"/>
        </a:p>
      </dgm:t>
    </dgm:pt>
    <dgm:pt modelId="{D45451DE-4B24-4307-A689-8EC4E4AFAB84}" type="pres">
      <dgm:prSet presAssocID="{4703890D-B2C2-43DC-B2C9-B108660205BE}" presName="root2" presStyleCnt="0"/>
      <dgm:spPr/>
    </dgm:pt>
    <dgm:pt modelId="{77FC5F2F-2E62-4801-80FA-AA328AAC4F46}" type="pres">
      <dgm:prSet presAssocID="{4703890D-B2C2-43DC-B2C9-B108660205BE}" presName="LevelTwoTextNode" presStyleLbl="node3" presStyleIdx="4" presStyleCnt="8" custScaleX="244713" custLinFactNeighborX="69437" custLinFactNeighborY="5472">
        <dgm:presLayoutVars>
          <dgm:chPref val="3"/>
        </dgm:presLayoutVars>
      </dgm:prSet>
      <dgm:spPr/>
      <dgm:t>
        <a:bodyPr/>
        <a:lstStyle/>
        <a:p>
          <a:endParaRPr lang="hu-HU"/>
        </a:p>
      </dgm:t>
    </dgm:pt>
    <dgm:pt modelId="{3E6250E5-FC0C-4D2C-AD0E-391E547F67C0}" type="pres">
      <dgm:prSet presAssocID="{4703890D-B2C2-43DC-B2C9-B108660205BE}" presName="level3hierChild" presStyleCnt="0"/>
      <dgm:spPr/>
    </dgm:pt>
    <dgm:pt modelId="{A4379BB2-B163-48C5-8D8C-B00DB3C249AD}" type="pres">
      <dgm:prSet presAssocID="{28C8C050-7D39-49B3-A612-975E1DD4CBCE}" presName="conn2-1" presStyleLbl="parChTrans1D3" presStyleIdx="5" presStyleCnt="8"/>
      <dgm:spPr/>
      <dgm:t>
        <a:bodyPr/>
        <a:lstStyle/>
        <a:p>
          <a:endParaRPr lang="hu-HU"/>
        </a:p>
      </dgm:t>
    </dgm:pt>
    <dgm:pt modelId="{B2E61C71-1733-4D94-A871-45F0A10F34E2}" type="pres">
      <dgm:prSet presAssocID="{28C8C050-7D39-49B3-A612-975E1DD4CBCE}" presName="connTx" presStyleLbl="parChTrans1D3" presStyleIdx="5" presStyleCnt="8"/>
      <dgm:spPr/>
      <dgm:t>
        <a:bodyPr/>
        <a:lstStyle/>
        <a:p>
          <a:endParaRPr lang="hu-HU"/>
        </a:p>
      </dgm:t>
    </dgm:pt>
    <dgm:pt modelId="{52DC319B-7B51-4151-A255-EE603D741177}" type="pres">
      <dgm:prSet presAssocID="{25423E24-1C8D-420B-BFD7-DFC21BF8943C}" presName="root2" presStyleCnt="0"/>
      <dgm:spPr/>
    </dgm:pt>
    <dgm:pt modelId="{F7FEBFAA-2695-4982-8C39-E6D8FD913AE0}" type="pres">
      <dgm:prSet presAssocID="{25423E24-1C8D-420B-BFD7-DFC21BF8943C}" presName="LevelTwoTextNode" presStyleLbl="node3" presStyleIdx="5" presStyleCnt="8" custScaleX="250478" custLinFactNeighborX="63672" custLinFactNeighborY="-8208">
        <dgm:presLayoutVars>
          <dgm:chPref val="3"/>
        </dgm:presLayoutVars>
      </dgm:prSet>
      <dgm:spPr/>
      <dgm:t>
        <a:bodyPr/>
        <a:lstStyle/>
        <a:p>
          <a:endParaRPr lang="hu-HU"/>
        </a:p>
      </dgm:t>
    </dgm:pt>
    <dgm:pt modelId="{0E1B767B-3577-47B9-8A99-86EB1BC25CCD}" type="pres">
      <dgm:prSet presAssocID="{25423E24-1C8D-420B-BFD7-DFC21BF8943C}" presName="level3hierChild" presStyleCnt="0"/>
      <dgm:spPr/>
    </dgm:pt>
    <dgm:pt modelId="{5939191A-6146-4305-8CB2-93016D39033F}" type="pres">
      <dgm:prSet presAssocID="{AA356B29-6AB8-4011-B2AB-C54A8EA930C2}" presName="conn2-1" presStyleLbl="parChTrans1D2" presStyleIdx="2" presStyleCnt="4"/>
      <dgm:spPr/>
      <dgm:t>
        <a:bodyPr/>
        <a:lstStyle/>
        <a:p>
          <a:endParaRPr lang="hu-HU"/>
        </a:p>
      </dgm:t>
    </dgm:pt>
    <dgm:pt modelId="{A33B5064-BF06-4D93-8B3D-373A10877514}" type="pres">
      <dgm:prSet presAssocID="{AA356B29-6AB8-4011-B2AB-C54A8EA930C2}" presName="connTx" presStyleLbl="parChTrans1D2" presStyleIdx="2" presStyleCnt="4"/>
      <dgm:spPr/>
      <dgm:t>
        <a:bodyPr/>
        <a:lstStyle/>
        <a:p>
          <a:endParaRPr lang="hu-HU"/>
        </a:p>
      </dgm:t>
    </dgm:pt>
    <dgm:pt modelId="{4BF45D68-5E00-46AB-B788-D928349639DF}" type="pres">
      <dgm:prSet presAssocID="{D2010252-00A5-42F5-91D8-D31D8A464895}" presName="root2" presStyleCnt="0"/>
      <dgm:spPr/>
    </dgm:pt>
    <dgm:pt modelId="{9C1313D9-A264-4A8A-A1F7-89DC80417C0A}" type="pres">
      <dgm:prSet presAssocID="{D2010252-00A5-42F5-91D8-D31D8A464895}" presName="LevelTwoTextNode" presStyleLbl="node2" presStyleIdx="2" presStyleCnt="4" custScaleX="162145" custScaleY="111915" custLinFactNeighborX="35583" custLinFactNeighborY="-25504">
        <dgm:presLayoutVars>
          <dgm:chPref val="3"/>
        </dgm:presLayoutVars>
      </dgm:prSet>
      <dgm:spPr/>
      <dgm:t>
        <a:bodyPr/>
        <a:lstStyle/>
        <a:p>
          <a:endParaRPr lang="hu-HU"/>
        </a:p>
      </dgm:t>
    </dgm:pt>
    <dgm:pt modelId="{19AAF900-C074-467D-A8D4-750424B61F65}" type="pres">
      <dgm:prSet presAssocID="{D2010252-00A5-42F5-91D8-D31D8A464895}" presName="level3hierChild" presStyleCnt="0"/>
      <dgm:spPr/>
    </dgm:pt>
    <dgm:pt modelId="{59E89D57-95BB-43FB-AA51-66CD6144928C}" type="pres">
      <dgm:prSet presAssocID="{0C470CEE-567B-4EB4-BB4E-41DC9D3E3614}" presName="conn2-1" presStyleLbl="parChTrans1D3" presStyleIdx="6" presStyleCnt="8"/>
      <dgm:spPr/>
      <dgm:t>
        <a:bodyPr/>
        <a:lstStyle/>
        <a:p>
          <a:endParaRPr lang="hu-HU"/>
        </a:p>
      </dgm:t>
    </dgm:pt>
    <dgm:pt modelId="{15B628E7-4237-4F9C-8362-75082F728511}" type="pres">
      <dgm:prSet presAssocID="{0C470CEE-567B-4EB4-BB4E-41DC9D3E3614}" presName="connTx" presStyleLbl="parChTrans1D3" presStyleIdx="6" presStyleCnt="8"/>
      <dgm:spPr/>
      <dgm:t>
        <a:bodyPr/>
        <a:lstStyle/>
        <a:p>
          <a:endParaRPr lang="hu-HU"/>
        </a:p>
      </dgm:t>
    </dgm:pt>
    <dgm:pt modelId="{415E5FED-54D5-416D-9814-3EC42939620A}" type="pres">
      <dgm:prSet presAssocID="{324DD5CB-FDD0-4E2A-B6A4-BBDC256E7C8A}" presName="root2" presStyleCnt="0"/>
      <dgm:spPr/>
    </dgm:pt>
    <dgm:pt modelId="{3C6FDB14-57D3-4FF6-B2FB-F58B1030D227}" type="pres">
      <dgm:prSet presAssocID="{324DD5CB-FDD0-4E2A-B6A4-BBDC256E7C8A}" presName="LevelTwoTextNode" presStyleLbl="node3" presStyleIdx="6" presStyleCnt="8" custScaleX="254389" custLinFactNeighborX="61889" custLinFactNeighborY="-8211">
        <dgm:presLayoutVars>
          <dgm:chPref val="3"/>
        </dgm:presLayoutVars>
      </dgm:prSet>
      <dgm:spPr/>
      <dgm:t>
        <a:bodyPr/>
        <a:lstStyle/>
        <a:p>
          <a:endParaRPr lang="hu-HU"/>
        </a:p>
      </dgm:t>
    </dgm:pt>
    <dgm:pt modelId="{DB9F5C71-2F02-4F50-837B-40A237EB36DF}" type="pres">
      <dgm:prSet presAssocID="{324DD5CB-FDD0-4E2A-B6A4-BBDC256E7C8A}" presName="level3hierChild" presStyleCnt="0"/>
      <dgm:spPr/>
    </dgm:pt>
    <dgm:pt modelId="{AAB5B30E-BC77-48CF-8538-C3D09F5AD347}" type="pres">
      <dgm:prSet presAssocID="{7A517ECD-35C9-4BF4-843D-7C509181696B}" presName="conn2-1" presStyleLbl="parChTrans1D2" presStyleIdx="3" presStyleCnt="4"/>
      <dgm:spPr/>
      <dgm:t>
        <a:bodyPr/>
        <a:lstStyle/>
        <a:p>
          <a:endParaRPr lang="hu-HU"/>
        </a:p>
      </dgm:t>
    </dgm:pt>
    <dgm:pt modelId="{9C1129F0-D449-4E98-9474-B19FF3164208}" type="pres">
      <dgm:prSet presAssocID="{7A517ECD-35C9-4BF4-843D-7C509181696B}" presName="connTx" presStyleLbl="parChTrans1D2" presStyleIdx="3" presStyleCnt="4"/>
      <dgm:spPr/>
      <dgm:t>
        <a:bodyPr/>
        <a:lstStyle/>
        <a:p>
          <a:endParaRPr lang="hu-HU"/>
        </a:p>
      </dgm:t>
    </dgm:pt>
    <dgm:pt modelId="{9C37DCAA-47D4-435B-82D2-B021FFBF58A1}" type="pres">
      <dgm:prSet presAssocID="{78983730-68F3-4FED-9236-9AD55B3C4540}" presName="root2" presStyleCnt="0"/>
      <dgm:spPr/>
    </dgm:pt>
    <dgm:pt modelId="{C3DA6826-C683-4D26-B051-8765A1EB01FC}" type="pres">
      <dgm:prSet presAssocID="{78983730-68F3-4FED-9236-9AD55B3C4540}" presName="LevelTwoTextNode" presStyleLbl="node2" presStyleIdx="3" presStyleCnt="4" custScaleX="172469" custScaleY="107193" custLinFactNeighborX="21429" custLinFactNeighborY="-26793">
        <dgm:presLayoutVars>
          <dgm:chPref val="3"/>
        </dgm:presLayoutVars>
      </dgm:prSet>
      <dgm:spPr/>
      <dgm:t>
        <a:bodyPr/>
        <a:lstStyle/>
        <a:p>
          <a:endParaRPr lang="hu-HU"/>
        </a:p>
      </dgm:t>
    </dgm:pt>
    <dgm:pt modelId="{0FB1CDEB-4927-48F8-81D1-8850963BD322}" type="pres">
      <dgm:prSet presAssocID="{78983730-68F3-4FED-9236-9AD55B3C4540}" presName="level3hierChild" presStyleCnt="0"/>
      <dgm:spPr/>
    </dgm:pt>
    <dgm:pt modelId="{34059CDD-D0C8-4D1B-9BCB-B444D716A974}" type="pres">
      <dgm:prSet presAssocID="{CB7EC624-1335-453E-B891-4274693074B7}" presName="conn2-1" presStyleLbl="parChTrans1D3" presStyleIdx="7" presStyleCnt="8"/>
      <dgm:spPr/>
      <dgm:t>
        <a:bodyPr/>
        <a:lstStyle/>
        <a:p>
          <a:endParaRPr lang="hu-HU"/>
        </a:p>
      </dgm:t>
    </dgm:pt>
    <dgm:pt modelId="{93F9BDF3-EC88-43DC-853C-FFE94FAFC9FB}" type="pres">
      <dgm:prSet presAssocID="{CB7EC624-1335-453E-B891-4274693074B7}" presName="connTx" presStyleLbl="parChTrans1D3" presStyleIdx="7" presStyleCnt="8"/>
      <dgm:spPr/>
      <dgm:t>
        <a:bodyPr/>
        <a:lstStyle/>
        <a:p>
          <a:endParaRPr lang="hu-HU"/>
        </a:p>
      </dgm:t>
    </dgm:pt>
    <dgm:pt modelId="{4FAA543B-C733-4327-87D8-F8FA63191BC1}" type="pres">
      <dgm:prSet presAssocID="{2EA7126F-6DE2-47D9-B8A1-CA3426A7E1B7}" presName="root2" presStyleCnt="0"/>
      <dgm:spPr/>
    </dgm:pt>
    <dgm:pt modelId="{BE11782B-A716-429B-8953-E84870E78A31}" type="pres">
      <dgm:prSet presAssocID="{2EA7126F-6DE2-47D9-B8A1-CA3426A7E1B7}" presName="LevelTwoTextNode" presStyleLbl="node3" presStyleIdx="7" presStyleCnt="8" custScaleX="235205" custLinFactNeighborX="68013" custLinFactNeighborY="-24010">
        <dgm:presLayoutVars>
          <dgm:chPref val="3"/>
        </dgm:presLayoutVars>
      </dgm:prSet>
      <dgm:spPr/>
      <dgm:t>
        <a:bodyPr/>
        <a:lstStyle/>
        <a:p>
          <a:endParaRPr lang="hu-HU"/>
        </a:p>
      </dgm:t>
    </dgm:pt>
    <dgm:pt modelId="{6765D676-D6FA-4495-9930-E1773A789BDD}" type="pres">
      <dgm:prSet presAssocID="{2EA7126F-6DE2-47D9-B8A1-CA3426A7E1B7}" presName="level3hierChild" presStyleCnt="0"/>
      <dgm:spPr/>
    </dgm:pt>
  </dgm:ptLst>
  <dgm:cxnLst>
    <dgm:cxn modelId="{08A5FB1F-1FCC-416E-9E37-7408516CFF76}" srcId="{9EC3B255-CE8B-4481-B99B-33B026896CF6}" destId="{1816B0AC-F050-4324-8130-C586454B9F24}" srcOrd="1" destOrd="0" parTransId="{B0C23C0C-2BC4-44A9-952E-F3C8C15708B1}" sibTransId="{47CA654D-B153-40D7-8848-8949E81D437D}"/>
    <dgm:cxn modelId="{B0514E93-FC52-4CA2-8289-A859F7479CC3}" srcId="{512A1BCF-C48E-41D4-B03E-E66ADF1E96B0}" destId="{95DE81D0-2CA9-48A4-9C65-745586FCAF9D}" srcOrd="0" destOrd="0" parTransId="{717EDE95-DFCD-4F2E-ACB5-90C1E35A1D7B}" sibTransId="{BB2A5B42-D0E7-43B2-B7DA-8DB6ABCEF879}"/>
    <dgm:cxn modelId="{695FE4B9-0D0B-4550-BC7F-399CD0235AB4}" srcId="{9EC3B255-CE8B-4481-B99B-33B026896CF6}" destId="{E9D530F4-EBF3-48CE-BE69-7A766D3A27E1}" srcOrd="0" destOrd="0" parTransId="{CD2D5311-2A62-49C6-99C0-FEE89C43C872}" sibTransId="{5F3813E1-135F-4E6D-8B7B-2A92DD2FB9A0}"/>
    <dgm:cxn modelId="{B83D41AF-ACAE-4F29-ADF2-5234C7EE81E9}" srcId="{95DE81D0-2CA9-48A4-9C65-745586FCAF9D}" destId="{9EC3B255-CE8B-4481-B99B-33B026896CF6}" srcOrd="0" destOrd="0" parTransId="{047E8FA5-4CC8-4170-97CE-6541B19A4335}" sibTransId="{E186ECC9-EC8B-4F8F-A4F8-2DC8E3E3FA3D}"/>
    <dgm:cxn modelId="{27D16C94-1F59-44EB-A8BF-D2D2D313E966}" srcId="{AEC668D4-B054-456E-9514-E7CFF7752887}" destId="{D6C5AFF2-86CD-413E-A1E1-7AED152870BC}" srcOrd="0" destOrd="0" parTransId="{EA5F0D08-6F26-49FE-BA77-55A31BE0A04A}" sibTransId="{0C93284B-7CAC-49E2-8B46-04A408BAE2F3}"/>
    <dgm:cxn modelId="{922BD37F-0ED6-4235-B721-2E49C6679027}" type="presOf" srcId="{CD977AE9-CBEA-4395-B5A4-85395C46FACF}" destId="{70F6437D-7DDD-4E7A-A124-C0697D74C4FD}" srcOrd="0" destOrd="0" presId="urn:microsoft.com/office/officeart/2005/8/layout/hierarchy2"/>
    <dgm:cxn modelId="{5C086B6E-DEA4-4B62-9330-2BB90FA19077}" type="presOf" srcId="{CD2D5311-2A62-49C6-99C0-FEE89C43C872}" destId="{E8CB3D3E-B6A2-493E-9E07-00CBCC745CE5}" srcOrd="0" destOrd="0" presId="urn:microsoft.com/office/officeart/2005/8/layout/hierarchy2"/>
    <dgm:cxn modelId="{92F8F1C1-72BB-4902-B495-736C623A0BB3}" type="presOf" srcId="{AA356B29-6AB8-4011-B2AB-C54A8EA930C2}" destId="{A33B5064-BF06-4D93-8B3D-373A10877514}" srcOrd="1" destOrd="0" presId="urn:microsoft.com/office/officeart/2005/8/layout/hierarchy2"/>
    <dgm:cxn modelId="{525BB057-27DF-4F27-AC58-8F08A3BA99BD}" type="presOf" srcId="{B0C23C0C-2BC4-44A9-952E-F3C8C15708B1}" destId="{0844C586-61EB-4CB1-9510-9AA5A1E8E323}" srcOrd="1" destOrd="0" presId="urn:microsoft.com/office/officeart/2005/8/layout/hierarchy2"/>
    <dgm:cxn modelId="{78171FDD-CA67-4EAA-A244-0E71D0E36E2E}" type="presOf" srcId="{F6B01E3E-D6B1-4752-AC94-7E07EEFC02A8}" destId="{5E62C546-5F62-475B-BC7A-1F64BD589206}" srcOrd="0" destOrd="0" presId="urn:microsoft.com/office/officeart/2005/8/layout/hierarchy2"/>
    <dgm:cxn modelId="{CC5B2686-9ED2-4340-9C51-8D0F217E8DF3}" type="presOf" srcId="{F6B01E3E-D6B1-4752-AC94-7E07EEFC02A8}" destId="{CA7DF405-C950-4DA0-9912-1AD2A43A3F95}" srcOrd="1" destOrd="0" presId="urn:microsoft.com/office/officeart/2005/8/layout/hierarchy2"/>
    <dgm:cxn modelId="{9853DA1B-6520-4A0D-B96E-25639308E388}" type="presOf" srcId="{AA356B29-6AB8-4011-B2AB-C54A8EA930C2}" destId="{5939191A-6146-4305-8CB2-93016D39033F}" srcOrd="0" destOrd="0" presId="urn:microsoft.com/office/officeart/2005/8/layout/hierarchy2"/>
    <dgm:cxn modelId="{E1C91CBA-C4F0-4DBC-9C31-3427F0E4D255}" type="presOf" srcId="{7A517ECD-35C9-4BF4-843D-7C509181696B}" destId="{9C1129F0-D449-4E98-9474-B19FF3164208}" srcOrd="1" destOrd="0" presId="urn:microsoft.com/office/officeart/2005/8/layout/hierarchy2"/>
    <dgm:cxn modelId="{2373F8FA-3D0C-4DF6-8C0B-A8B04BA3A80C}" type="presOf" srcId="{EA5F0D08-6F26-49FE-BA77-55A31BE0A04A}" destId="{BFA1E4F2-0E66-4CEE-8013-99607B78A262}" srcOrd="1" destOrd="0" presId="urn:microsoft.com/office/officeart/2005/8/layout/hierarchy2"/>
    <dgm:cxn modelId="{C8C319B7-ADCE-4110-9DC5-17BAA4DBB006}" type="presOf" srcId="{CD977AE9-CBEA-4395-B5A4-85395C46FACF}" destId="{5593449D-BEE5-4BD6-9B6B-869764167804}" srcOrd="1" destOrd="0" presId="urn:microsoft.com/office/officeart/2005/8/layout/hierarchy2"/>
    <dgm:cxn modelId="{5FF0772B-E97E-49BA-B6A6-0DB75E03E297}" type="presOf" srcId="{28C8C050-7D39-49B3-A612-975E1DD4CBCE}" destId="{A4379BB2-B163-48C5-8D8C-B00DB3C249AD}" srcOrd="0" destOrd="0" presId="urn:microsoft.com/office/officeart/2005/8/layout/hierarchy2"/>
    <dgm:cxn modelId="{2E679085-2442-426E-B0AD-4F44D043131B}" type="presOf" srcId="{28C8C050-7D39-49B3-A612-975E1DD4CBCE}" destId="{B2E61C71-1733-4D94-A871-45F0A10F34E2}" srcOrd="1" destOrd="0" presId="urn:microsoft.com/office/officeart/2005/8/layout/hierarchy2"/>
    <dgm:cxn modelId="{470E7475-CC2B-446B-BDCD-8B81CFFB4E1B}" type="presOf" srcId="{4703890D-B2C2-43DC-B2C9-B108660205BE}" destId="{77FC5F2F-2E62-4801-80FA-AA328AAC4F46}" srcOrd="0" destOrd="0" presId="urn:microsoft.com/office/officeart/2005/8/layout/hierarchy2"/>
    <dgm:cxn modelId="{38726A29-1152-4E2E-AE07-0446FF858886}" type="presOf" srcId="{CB7EC624-1335-453E-B891-4274693074B7}" destId="{93F9BDF3-EC88-43DC-853C-FFE94FAFC9FB}" srcOrd="1" destOrd="0" presId="urn:microsoft.com/office/officeart/2005/8/layout/hierarchy2"/>
    <dgm:cxn modelId="{11475B52-8656-4FE3-B912-D3FDB4DAFD6C}" type="presOf" srcId="{9EC3B255-CE8B-4481-B99B-33B026896CF6}" destId="{6FBAE30C-64B9-4A79-A13E-D2134F42CE0C}" srcOrd="0" destOrd="0" presId="urn:microsoft.com/office/officeart/2005/8/layout/hierarchy2"/>
    <dgm:cxn modelId="{2306C565-863B-4F64-87EA-7BDC64EF9D92}" type="presOf" srcId="{0C470CEE-567B-4EB4-BB4E-41DC9D3E3614}" destId="{15B628E7-4237-4F9C-8362-75082F728511}" srcOrd="1" destOrd="0" presId="urn:microsoft.com/office/officeart/2005/8/layout/hierarchy2"/>
    <dgm:cxn modelId="{B8E2C38E-7FFC-4BFB-820C-AAF403FEC4F3}" srcId="{AEC668D4-B054-456E-9514-E7CFF7752887}" destId="{25423E24-1C8D-420B-BFD7-DFC21BF8943C}" srcOrd="2" destOrd="0" parTransId="{28C8C050-7D39-49B3-A612-975E1DD4CBCE}" sibTransId="{E72F59CD-5FAC-4C70-9452-7E5B9DFE5AD1}"/>
    <dgm:cxn modelId="{DFEAE591-E347-41A7-8321-9BBD43145791}" type="presOf" srcId="{512A1BCF-C48E-41D4-B03E-E66ADF1E96B0}" destId="{23E581BD-3B4E-40C3-BB1D-79E2D6E3613E}" srcOrd="0" destOrd="0" presId="urn:microsoft.com/office/officeart/2005/8/layout/hierarchy2"/>
    <dgm:cxn modelId="{7373587A-10B6-4324-A2D4-807C0E9D82EC}" type="presOf" srcId="{D2010252-00A5-42F5-91D8-D31D8A464895}" destId="{9C1313D9-A264-4A8A-A1F7-89DC80417C0A}" srcOrd="0" destOrd="0" presId="urn:microsoft.com/office/officeart/2005/8/layout/hierarchy2"/>
    <dgm:cxn modelId="{8D973E2F-0D8D-49AC-9593-50E3E9D44F4A}" type="presOf" srcId="{D954A866-5AD4-4D2D-BDDF-3C6BD339BFCF}" destId="{6A9AD2CE-7962-45EA-A81A-0B3531162096}" srcOrd="0" destOrd="0" presId="urn:microsoft.com/office/officeart/2005/8/layout/hierarchy2"/>
    <dgm:cxn modelId="{A96C8F5D-BB4B-4DA7-93AF-473B4A6EF65C}" type="presOf" srcId="{0C470CEE-567B-4EB4-BB4E-41DC9D3E3614}" destId="{59E89D57-95BB-43FB-AA51-66CD6144928C}" srcOrd="0" destOrd="0" presId="urn:microsoft.com/office/officeart/2005/8/layout/hierarchy2"/>
    <dgm:cxn modelId="{349CB1A5-8200-4A3D-AB5C-EE07C61158E4}" srcId="{78983730-68F3-4FED-9236-9AD55B3C4540}" destId="{2EA7126F-6DE2-47D9-B8A1-CA3426A7E1B7}" srcOrd="0" destOrd="0" parTransId="{CB7EC624-1335-453E-B891-4274693074B7}" sibTransId="{33E74D34-08CA-4E20-A256-2ABC8773E41D}"/>
    <dgm:cxn modelId="{BA2DBD87-B4DF-4176-BC9B-0AA68FB59348}" type="presOf" srcId="{F0EC2D10-D592-40B4-8FDB-2B646B6393CD}" destId="{B9048DA2-DFB7-4657-BC8B-2CA913C9D4A4}" srcOrd="1" destOrd="0" presId="urn:microsoft.com/office/officeart/2005/8/layout/hierarchy2"/>
    <dgm:cxn modelId="{21CFD581-3897-4144-ABAF-0D0CB51A2C9C}" type="presOf" srcId="{EA5F0D08-6F26-49FE-BA77-55A31BE0A04A}" destId="{D2F52BED-2DA0-49EA-A3C6-D59EB95D26FA}" srcOrd="0" destOrd="0" presId="urn:microsoft.com/office/officeart/2005/8/layout/hierarchy2"/>
    <dgm:cxn modelId="{C6B68406-239E-4569-B243-77636D05BA10}" type="presOf" srcId="{25423E24-1C8D-420B-BFD7-DFC21BF8943C}" destId="{F7FEBFAA-2695-4982-8C39-E6D8FD913AE0}" srcOrd="0" destOrd="0" presId="urn:microsoft.com/office/officeart/2005/8/layout/hierarchy2"/>
    <dgm:cxn modelId="{80796153-D72C-4B41-8188-1D07D9E62EAF}" srcId="{95DE81D0-2CA9-48A4-9C65-745586FCAF9D}" destId="{D2010252-00A5-42F5-91D8-D31D8A464895}" srcOrd="2" destOrd="0" parTransId="{AA356B29-6AB8-4011-B2AB-C54A8EA930C2}" sibTransId="{4144E488-F32C-4DDD-B748-7B21E1BCCDB3}"/>
    <dgm:cxn modelId="{EC6FB768-AC50-4A94-8FC9-0350CF693FAB}" type="presOf" srcId="{AEC668D4-B054-456E-9514-E7CFF7752887}" destId="{840A8A24-B84C-441B-8F7B-C474EED0ED31}" srcOrd="0" destOrd="0" presId="urn:microsoft.com/office/officeart/2005/8/layout/hierarchy2"/>
    <dgm:cxn modelId="{267B74E1-A4AA-4DA9-AEBA-50B2EF0FC529}" type="presOf" srcId="{95DE81D0-2CA9-48A4-9C65-745586FCAF9D}" destId="{743431BE-84EE-4FD6-B77F-48EF1FEA7B33}" srcOrd="0" destOrd="0" presId="urn:microsoft.com/office/officeart/2005/8/layout/hierarchy2"/>
    <dgm:cxn modelId="{C0AB8EF7-897A-436B-BF93-7BE78F26C572}" srcId="{D2010252-00A5-42F5-91D8-D31D8A464895}" destId="{324DD5CB-FDD0-4E2A-B6A4-BBDC256E7C8A}" srcOrd="0" destOrd="0" parTransId="{0C470CEE-567B-4EB4-BB4E-41DC9D3E3614}" sibTransId="{D1D32522-3884-4AA3-934F-54F2648B1558}"/>
    <dgm:cxn modelId="{2C11CB10-F9BC-44EB-9AC7-36ED1D286CC7}" type="presOf" srcId="{7A517ECD-35C9-4BF4-843D-7C509181696B}" destId="{AAB5B30E-BC77-48CF-8538-C3D09F5AD347}" srcOrd="0" destOrd="0" presId="urn:microsoft.com/office/officeart/2005/8/layout/hierarchy2"/>
    <dgm:cxn modelId="{2413E353-0B29-4FA8-B4BC-A5AAA7C3FCBD}" type="presOf" srcId="{D6C5AFF2-86CD-413E-A1E1-7AED152870BC}" destId="{A9777576-3538-4E35-9DD0-85EA42034D87}" srcOrd="0" destOrd="0" presId="urn:microsoft.com/office/officeart/2005/8/layout/hierarchy2"/>
    <dgm:cxn modelId="{B8A85844-10AE-4F16-BA07-66304630562B}" type="presOf" srcId="{1816B0AC-F050-4324-8130-C586454B9F24}" destId="{C7214CFF-4613-47F8-8CB9-6C6CF0BFCC6D}" srcOrd="0" destOrd="0" presId="urn:microsoft.com/office/officeart/2005/8/layout/hierarchy2"/>
    <dgm:cxn modelId="{39317E23-670C-4126-991A-4AA6C3542094}" type="presOf" srcId="{78983730-68F3-4FED-9236-9AD55B3C4540}" destId="{C3DA6826-C683-4D26-B051-8765A1EB01FC}" srcOrd="0" destOrd="0" presId="urn:microsoft.com/office/officeart/2005/8/layout/hierarchy2"/>
    <dgm:cxn modelId="{59011B21-140C-4F98-BE3A-DB9DAB363092}" type="presOf" srcId="{047E8FA5-4CC8-4170-97CE-6541B19A4335}" destId="{EB371CDA-FD9C-428A-B51E-5156ADBE2135}" srcOrd="1" destOrd="0" presId="urn:microsoft.com/office/officeart/2005/8/layout/hierarchy2"/>
    <dgm:cxn modelId="{D69487CB-1F54-4634-8150-DEEFAE324B3F}" srcId="{9EC3B255-CE8B-4481-B99B-33B026896CF6}" destId="{D954A866-5AD4-4D2D-BDDF-3C6BD339BFCF}" srcOrd="2" destOrd="0" parTransId="{F6B01E3E-D6B1-4752-AC94-7E07EEFC02A8}" sibTransId="{6FEA9F7D-6E46-4CC2-AE1E-57ED7D38C308}"/>
    <dgm:cxn modelId="{FD066B47-8EAC-43A5-B7E9-BA08FE7C9A6A}" type="presOf" srcId="{324DD5CB-FDD0-4E2A-B6A4-BBDC256E7C8A}" destId="{3C6FDB14-57D3-4FF6-B2FB-F58B1030D227}" srcOrd="0" destOrd="0" presId="urn:microsoft.com/office/officeart/2005/8/layout/hierarchy2"/>
    <dgm:cxn modelId="{7E2EC7F1-3360-495F-A5F7-F0E54C7433F9}" srcId="{95DE81D0-2CA9-48A4-9C65-745586FCAF9D}" destId="{AEC668D4-B054-456E-9514-E7CFF7752887}" srcOrd="1" destOrd="0" parTransId="{F0EC2D10-D592-40B4-8FDB-2B646B6393CD}" sibTransId="{5A674BE9-BD3A-4B68-AD60-680C8C49FA08}"/>
    <dgm:cxn modelId="{954E82B6-6054-4DD6-B5C2-9F426C85B776}" srcId="{95DE81D0-2CA9-48A4-9C65-745586FCAF9D}" destId="{78983730-68F3-4FED-9236-9AD55B3C4540}" srcOrd="3" destOrd="0" parTransId="{7A517ECD-35C9-4BF4-843D-7C509181696B}" sibTransId="{E7141671-6D6A-41AB-8166-48853F0985B8}"/>
    <dgm:cxn modelId="{450D7959-D503-46A6-B971-8893039AACE5}" type="presOf" srcId="{B0C23C0C-2BC4-44A9-952E-F3C8C15708B1}" destId="{51BC11A0-682A-4F09-8AA1-F97170AEAD1A}" srcOrd="0" destOrd="0" presId="urn:microsoft.com/office/officeart/2005/8/layout/hierarchy2"/>
    <dgm:cxn modelId="{D1E44195-6AFD-440D-91C2-7FBC969DC458}" type="presOf" srcId="{CB7EC624-1335-453E-B891-4274693074B7}" destId="{34059CDD-D0C8-4D1B-9BCB-B444D716A974}" srcOrd="0" destOrd="0" presId="urn:microsoft.com/office/officeart/2005/8/layout/hierarchy2"/>
    <dgm:cxn modelId="{3CB4F30C-D912-4830-90D0-3B4C57375648}" type="presOf" srcId="{047E8FA5-4CC8-4170-97CE-6541B19A4335}" destId="{8E5BAC1A-7592-4E60-B9C6-1A07A3BD6FEE}" srcOrd="0" destOrd="0" presId="urn:microsoft.com/office/officeart/2005/8/layout/hierarchy2"/>
    <dgm:cxn modelId="{A4A323C6-D5EC-418E-9B97-EBCDDD3F62D9}" srcId="{AEC668D4-B054-456E-9514-E7CFF7752887}" destId="{4703890D-B2C2-43DC-B2C9-B108660205BE}" srcOrd="1" destOrd="0" parTransId="{CD977AE9-CBEA-4395-B5A4-85395C46FACF}" sibTransId="{553EDF51-0A0B-4679-975B-F15399B1C653}"/>
    <dgm:cxn modelId="{0CE559C8-5A29-48A3-8197-CB13B9366E42}" type="presOf" srcId="{CD2D5311-2A62-49C6-99C0-FEE89C43C872}" destId="{C4F16159-9D1C-4CDA-973D-7A954A92ED32}" srcOrd="1" destOrd="0" presId="urn:microsoft.com/office/officeart/2005/8/layout/hierarchy2"/>
    <dgm:cxn modelId="{1CF5FA89-7282-4706-BE10-BBA2768C8741}" type="presOf" srcId="{E9D530F4-EBF3-48CE-BE69-7A766D3A27E1}" destId="{3AF72677-4E80-46D0-9A05-FA54EEB9FDBC}" srcOrd="0" destOrd="0" presId="urn:microsoft.com/office/officeart/2005/8/layout/hierarchy2"/>
    <dgm:cxn modelId="{3C1BD213-DC6C-49B5-B445-22910772C821}" type="presOf" srcId="{2EA7126F-6DE2-47D9-B8A1-CA3426A7E1B7}" destId="{BE11782B-A716-429B-8953-E84870E78A31}" srcOrd="0" destOrd="0" presId="urn:microsoft.com/office/officeart/2005/8/layout/hierarchy2"/>
    <dgm:cxn modelId="{34494B52-48EE-4BD0-8064-ABF63F3CAB72}" type="presOf" srcId="{F0EC2D10-D592-40B4-8FDB-2B646B6393CD}" destId="{4709483C-0C1A-4688-AC35-399982118C7E}" srcOrd="0" destOrd="0" presId="urn:microsoft.com/office/officeart/2005/8/layout/hierarchy2"/>
    <dgm:cxn modelId="{A2E7E33A-1DB6-46AD-9893-AB9D3C6869B7}" type="presParOf" srcId="{23E581BD-3B4E-40C3-BB1D-79E2D6E3613E}" destId="{C2DA2565-0E44-4379-85BB-A87520F7F0F2}" srcOrd="0" destOrd="0" presId="urn:microsoft.com/office/officeart/2005/8/layout/hierarchy2"/>
    <dgm:cxn modelId="{80F8A808-8DF8-44B4-BF9D-31694DE635D1}" type="presParOf" srcId="{C2DA2565-0E44-4379-85BB-A87520F7F0F2}" destId="{743431BE-84EE-4FD6-B77F-48EF1FEA7B33}" srcOrd="0" destOrd="0" presId="urn:microsoft.com/office/officeart/2005/8/layout/hierarchy2"/>
    <dgm:cxn modelId="{37CA8779-C22A-468D-9BDB-5FF55FFE1748}" type="presParOf" srcId="{C2DA2565-0E44-4379-85BB-A87520F7F0F2}" destId="{75661511-AFC7-48FB-BC09-3AD08CD0F217}" srcOrd="1" destOrd="0" presId="urn:microsoft.com/office/officeart/2005/8/layout/hierarchy2"/>
    <dgm:cxn modelId="{6524CF48-386E-49A0-B287-11CFDF889532}" type="presParOf" srcId="{75661511-AFC7-48FB-BC09-3AD08CD0F217}" destId="{8E5BAC1A-7592-4E60-B9C6-1A07A3BD6FEE}" srcOrd="0" destOrd="0" presId="urn:microsoft.com/office/officeart/2005/8/layout/hierarchy2"/>
    <dgm:cxn modelId="{B1A86F0D-8DBA-4684-A3DA-7EF262F17CAC}" type="presParOf" srcId="{8E5BAC1A-7592-4E60-B9C6-1A07A3BD6FEE}" destId="{EB371CDA-FD9C-428A-B51E-5156ADBE2135}" srcOrd="0" destOrd="0" presId="urn:microsoft.com/office/officeart/2005/8/layout/hierarchy2"/>
    <dgm:cxn modelId="{F49CCF11-B305-45F3-88B2-BF25E42E20FA}" type="presParOf" srcId="{75661511-AFC7-48FB-BC09-3AD08CD0F217}" destId="{8DD5E880-9185-4B34-AC3F-051FFE826EB2}" srcOrd="1" destOrd="0" presId="urn:microsoft.com/office/officeart/2005/8/layout/hierarchy2"/>
    <dgm:cxn modelId="{3833915A-86FC-4891-929B-8EFFE1D92E6B}" type="presParOf" srcId="{8DD5E880-9185-4B34-AC3F-051FFE826EB2}" destId="{6FBAE30C-64B9-4A79-A13E-D2134F42CE0C}" srcOrd="0" destOrd="0" presId="urn:microsoft.com/office/officeart/2005/8/layout/hierarchy2"/>
    <dgm:cxn modelId="{86C8A9F1-9C86-4E6C-9470-3B5D68AF969E}" type="presParOf" srcId="{8DD5E880-9185-4B34-AC3F-051FFE826EB2}" destId="{47DC621F-DDC5-4871-BC50-D5C4E45BE4C8}" srcOrd="1" destOrd="0" presId="urn:microsoft.com/office/officeart/2005/8/layout/hierarchy2"/>
    <dgm:cxn modelId="{14BF5174-0284-404D-AE0B-79AD4B2BB645}" type="presParOf" srcId="{47DC621F-DDC5-4871-BC50-D5C4E45BE4C8}" destId="{E8CB3D3E-B6A2-493E-9E07-00CBCC745CE5}" srcOrd="0" destOrd="0" presId="urn:microsoft.com/office/officeart/2005/8/layout/hierarchy2"/>
    <dgm:cxn modelId="{39822B4F-1FC1-4721-9A5A-3A9A55F48ECC}" type="presParOf" srcId="{E8CB3D3E-B6A2-493E-9E07-00CBCC745CE5}" destId="{C4F16159-9D1C-4CDA-973D-7A954A92ED32}" srcOrd="0" destOrd="0" presId="urn:microsoft.com/office/officeart/2005/8/layout/hierarchy2"/>
    <dgm:cxn modelId="{3F203F24-B1C8-43AA-90E6-6B3AAC127968}" type="presParOf" srcId="{47DC621F-DDC5-4871-BC50-D5C4E45BE4C8}" destId="{68D8281A-1DCD-4BB8-A01C-A597846FB93D}" srcOrd="1" destOrd="0" presId="urn:microsoft.com/office/officeart/2005/8/layout/hierarchy2"/>
    <dgm:cxn modelId="{C22C2ECD-FA2E-4B47-998C-7826682C1268}" type="presParOf" srcId="{68D8281A-1DCD-4BB8-A01C-A597846FB93D}" destId="{3AF72677-4E80-46D0-9A05-FA54EEB9FDBC}" srcOrd="0" destOrd="0" presId="urn:microsoft.com/office/officeart/2005/8/layout/hierarchy2"/>
    <dgm:cxn modelId="{6F3A5D94-BFF8-4880-A5E0-040359E11F87}" type="presParOf" srcId="{68D8281A-1DCD-4BB8-A01C-A597846FB93D}" destId="{2CB5D6D3-8D9F-4787-B4B2-7AF6CB5E4A0A}" srcOrd="1" destOrd="0" presId="urn:microsoft.com/office/officeart/2005/8/layout/hierarchy2"/>
    <dgm:cxn modelId="{C6B34B45-E55C-4A2B-8837-6C900E650EA3}" type="presParOf" srcId="{47DC621F-DDC5-4871-BC50-D5C4E45BE4C8}" destId="{51BC11A0-682A-4F09-8AA1-F97170AEAD1A}" srcOrd="2" destOrd="0" presId="urn:microsoft.com/office/officeart/2005/8/layout/hierarchy2"/>
    <dgm:cxn modelId="{8ADCA03D-4D72-4C89-9677-247E28FBF6AE}" type="presParOf" srcId="{51BC11A0-682A-4F09-8AA1-F97170AEAD1A}" destId="{0844C586-61EB-4CB1-9510-9AA5A1E8E323}" srcOrd="0" destOrd="0" presId="urn:microsoft.com/office/officeart/2005/8/layout/hierarchy2"/>
    <dgm:cxn modelId="{344B49A9-3E16-4473-8B4A-5BAC68098012}" type="presParOf" srcId="{47DC621F-DDC5-4871-BC50-D5C4E45BE4C8}" destId="{BB30D69B-7E76-4AF8-8D19-B4B4CABCB915}" srcOrd="3" destOrd="0" presId="urn:microsoft.com/office/officeart/2005/8/layout/hierarchy2"/>
    <dgm:cxn modelId="{A9FAC303-78E3-49A5-A2DB-D7766F046578}" type="presParOf" srcId="{BB30D69B-7E76-4AF8-8D19-B4B4CABCB915}" destId="{C7214CFF-4613-47F8-8CB9-6C6CF0BFCC6D}" srcOrd="0" destOrd="0" presId="urn:microsoft.com/office/officeart/2005/8/layout/hierarchy2"/>
    <dgm:cxn modelId="{8846209A-6B8B-4B63-80D3-4F111E6197F1}" type="presParOf" srcId="{BB30D69B-7E76-4AF8-8D19-B4B4CABCB915}" destId="{764B97F7-7FA6-4003-9A68-ABC3496FB259}" srcOrd="1" destOrd="0" presId="urn:microsoft.com/office/officeart/2005/8/layout/hierarchy2"/>
    <dgm:cxn modelId="{CCD7D870-722A-4AA9-A47A-7F5AF664DA1B}" type="presParOf" srcId="{47DC621F-DDC5-4871-BC50-D5C4E45BE4C8}" destId="{5E62C546-5F62-475B-BC7A-1F64BD589206}" srcOrd="4" destOrd="0" presId="urn:microsoft.com/office/officeart/2005/8/layout/hierarchy2"/>
    <dgm:cxn modelId="{4E4A1283-263D-40B0-8563-0D7B1D40EF92}" type="presParOf" srcId="{5E62C546-5F62-475B-BC7A-1F64BD589206}" destId="{CA7DF405-C950-4DA0-9912-1AD2A43A3F95}" srcOrd="0" destOrd="0" presId="urn:microsoft.com/office/officeart/2005/8/layout/hierarchy2"/>
    <dgm:cxn modelId="{A22E331A-2047-4E30-B4C6-6E710DF57BC2}" type="presParOf" srcId="{47DC621F-DDC5-4871-BC50-D5C4E45BE4C8}" destId="{C4B2301E-1793-48A8-B271-1E09B6404E42}" srcOrd="5" destOrd="0" presId="urn:microsoft.com/office/officeart/2005/8/layout/hierarchy2"/>
    <dgm:cxn modelId="{DFBB60DA-661C-43A2-8A61-43A48EFDE557}" type="presParOf" srcId="{C4B2301E-1793-48A8-B271-1E09B6404E42}" destId="{6A9AD2CE-7962-45EA-A81A-0B3531162096}" srcOrd="0" destOrd="0" presId="urn:microsoft.com/office/officeart/2005/8/layout/hierarchy2"/>
    <dgm:cxn modelId="{142D8CDE-0A81-4496-A29A-27C571E83293}" type="presParOf" srcId="{C4B2301E-1793-48A8-B271-1E09B6404E42}" destId="{8FCAE979-B0CB-495F-918A-738351BB5AC9}" srcOrd="1" destOrd="0" presId="urn:microsoft.com/office/officeart/2005/8/layout/hierarchy2"/>
    <dgm:cxn modelId="{6AB16E7B-9997-48AC-B8E0-C773895E7008}" type="presParOf" srcId="{75661511-AFC7-48FB-BC09-3AD08CD0F217}" destId="{4709483C-0C1A-4688-AC35-399982118C7E}" srcOrd="2" destOrd="0" presId="urn:microsoft.com/office/officeart/2005/8/layout/hierarchy2"/>
    <dgm:cxn modelId="{93A0C68F-B05B-4533-B1D4-53CA1BCF778E}" type="presParOf" srcId="{4709483C-0C1A-4688-AC35-399982118C7E}" destId="{B9048DA2-DFB7-4657-BC8B-2CA913C9D4A4}" srcOrd="0" destOrd="0" presId="urn:microsoft.com/office/officeart/2005/8/layout/hierarchy2"/>
    <dgm:cxn modelId="{0070C92C-332E-4FE8-9C70-8CFFE0377FB8}" type="presParOf" srcId="{75661511-AFC7-48FB-BC09-3AD08CD0F217}" destId="{A9D9CBA8-9ABE-4811-8F82-E4BADD639F77}" srcOrd="3" destOrd="0" presId="urn:microsoft.com/office/officeart/2005/8/layout/hierarchy2"/>
    <dgm:cxn modelId="{B3D1F140-C0E6-4F2D-B50D-190185A76074}" type="presParOf" srcId="{A9D9CBA8-9ABE-4811-8F82-E4BADD639F77}" destId="{840A8A24-B84C-441B-8F7B-C474EED0ED31}" srcOrd="0" destOrd="0" presId="urn:microsoft.com/office/officeart/2005/8/layout/hierarchy2"/>
    <dgm:cxn modelId="{54C403C0-C8FB-4E72-85FE-B5A590C5F77A}" type="presParOf" srcId="{A9D9CBA8-9ABE-4811-8F82-E4BADD639F77}" destId="{E2F5F439-156C-4994-82B3-909C81C8004C}" srcOrd="1" destOrd="0" presId="urn:microsoft.com/office/officeart/2005/8/layout/hierarchy2"/>
    <dgm:cxn modelId="{8FFC92C1-950F-428C-94AF-DD87B151EFBC}" type="presParOf" srcId="{E2F5F439-156C-4994-82B3-909C81C8004C}" destId="{D2F52BED-2DA0-49EA-A3C6-D59EB95D26FA}" srcOrd="0" destOrd="0" presId="urn:microsoft.com/office/officeart/2005/8/layout/hierarchy2"/>
    <dgm:cxn modelId="{E7898CB2-3746-4085-BFFA-C8301D119AB6}" type="presParOf" srcId="{D2F52BED-2DA0-49EA-A3C6-D59EB95D26FA}" destId="{BFA1E4F2-0E66-4CEE-8013-99607B78A262}" srcOrd="0" destOrd="0" presId="urn:microsoft.com/office/officeart/2005/8/layout/hierarchy2"/>
    <dgm:cxn modelId="{6ECC741B-8638-4114-A19E-1DDEDF991D1D}" type="presParOf" srcId="{E2F5F439-156C-4994-82B3-909C81C8004C}" destId="{061A249A-5E27-4B82-9FF2-4653936F0E24}" srcOrd="1" destOrd="0" presId="urn:microsoft.com/office/officeart/2005/8/layout/hierarchy2"/>
    <dgm:cxn modelId="{9C4E825B-6AC4-48B2-83E9-D7A22F947FDC}" type="presParOf" srcId="{061A249A-5E27-4B82-9FF2-4653936F0E24}" destId="{A9777576-3538-4E35-9DD0-85EA42034D87}" srcOrd="0" destOrd="0" presId="urn:microsoft.com/office/officeart/2005/8/layout/hierarchy2"/>
    <dgm:cxn modelId="{FEBE27B4-6BBD-4A03-A508-6C0FCED9A9E1}" type="presParOf" srcId="{061A249A-5E27-4B82-9FF2-4653936F0E24}" destId="{FCD81F32-9D36-48DF-BBD9-9845AC5B9E9E}" srcOrd="1" destOrd="0" presId="urn:microsoft.com/office/officeart/2005/8/layout/hierarchy2"/>
    <dgm:cxn modelId="{7E0268BB-9727-4602-A14C-5440450182CE}" type="presParOf" srcId="{E2F5F439-156C-4994-82B3-909C81C8004C}" destId="{70F6437D-7DDD-4E7A-A124-C0697D74C4FD}" srcOrd="2" destOrd="0" presId="urn:microsoft.com/office/officeart/2005/8/layout/hierarchy2"/>
    <dgm:cxn modelId="{95555980-2A3C-4B9E-BAB3-AB28A389A0C7}" type="presParOf" srcId="{70F6437D-7DDD-4E7A-A124-C0697D74C4FD}" destId="{5593449D-BEE5-4BD6-9B6B-869764167804}" srcOrd="0" destOrd="0" presId="urn:microsoft.com/office/officeart/2005/8/layout/hierarchy2"/>
    <dgm:cxn modelId="{33435354-4179-48AA-B957-E9BB5EB7534A}" type="presParOf" srcId="{E2F5F439-156C-4994-82B3-909C81C8004C}" destId="{D45451DE-4B24-4307-A689-8EC4E4AFAB84}" srcOrd="3" destOrd="0" presId="urn:microsoft.com/office/officeart/2005/8/layout/hierarchy2"/>
    <dgm:cxn modelId="{3CDB0F65-9EAE-4322-9FB6-81FB17820235}" type="presParOf" srcId="{D45451DE-4B24-4307-A689-8EC4E4AFAB84}" destId="{77FC5F2F-2E62-4801-80FA-AA328AAC4F46}" srcOrd="0" destOrd="0" presId="urn:microsoft.com/office/officeart/2005/8/layout/hierarchy2"/>
    <dgm:cxn modelId="{5710157E-BC25-4F55-A892-E96D76097A34}" type="presParOf" srcId="{D45451DE-4B24-4307-A689-8EC4E4AFAB84}" destId="{3E6250E5-FC0C-4D2C-AD0E-391E547F67C0}" srcOrd="1" destOrd="0" presId="urn:microsoft.com/office/officeart/2005/8/layout/hierarchy2"/>
    <dgm:cxn modelId="{5DD46933-DDA7-4B8F-86DB-FE9BE5343552}" type="presParOf" srcId="{E2F5F439-156C-4994-82B3-909C81C8004C}" destId="{A4379BB2-B163-48C5-8D8C-B00DB3C249AD}" srcOrd="4" destOrd="0" presId="urn:microsoft.com/office/officeart/2005/8/layout/hierarchy2"/>
    <dgm:cxn modelId="{4FFAD969-4BA3-4FBB-ABB1-7944C6B82C2A}" type="presParOf" srcId="{A4379BB2-B163-48C5-8D8C-B00DB3C249AD}" destId="{B2E61C71-1733-4D94-A871-45F0A10F34E2}" srcOrd="0" destOrd="0" presId="urn:microsoft.com/office/officeart/2005/8/layout/hierarchy2"/>
    <dgm:cxn modelId="{079D7703-5177-449E-8759-080FD7FA94DC}" type="presParOf" srcId="{E2F5F439-156C-4994-82B3-909C81C8004C}" destId="{52DC319B-7B51-4151-A255-EE603D741177}" srcOrd="5" destOrd="0" presId="urn:microsoft.com/office/officeart/2005/8/layout/hierarchy2"/>
    <dgm:cxn modelId="{DB249C62-C8F4-4A20-93B4-CC1EE43EC503}" type="presParOf" srcId="{52DC319B-7B51-4151-A255-EE603D741177}" destId="{F7FEBFAA-2695-4982-8C39-E6D8FD913AE0}" srcOrd="0" destOrd="0" presId="urn:microsoft.com/office/officeart/2005/8/layout/hierarchy2"/>
    <dgm:cxn modelId="{67D3C53D-684A-427C-8150-3A661F4F7DA3}" type="presParOf" srcId="{52DC319B-7B51-4151-A255-EE603D741177}" destId="{0E1B767B-3577-47B9-8A99-86EB1BC25CCD}" srcOrd="1" destOrd="0" presId="urn:microsoft.com/office/officeart/2005/8/layout/hierarchy2"/>
    <dgm:cxn modelId="{200D0EF3-1352-4712-BB8C-4A4D33B57715}" type="presParOf" srcId="{75661511-AFC7-48FB-BC09-3AD08CD0F217}" destId="{5939191A-6146-4305-8CB2-93016D39033F}" srcOrd="4" destOrd="0" presId="urn:microsoft.com/office/officeart/2005/8/layout/hierarchy2"/>
    <dgm:cxn modelId="{86D1D166-AD7D-493B-B387-3E142AC467D4}" type="presParOf" srcId="{5939191A-6146-4305-8CB2-93016D39033F}" destId="{A33B5064-BF06-4D93-8B3D-373A10877514}" srcOrd="0" destOrd="0" presId="urn:microsoft.com/office/officeart/2005/8/layout/hierarchy2"/>
    <dgm:cxn modelId="{29FCB3DD-0680-4514-A225-384B19FBC0CC}" type="presParOf" srcId="{75661511-AFC7-48FB-BC09-3AD08CD0F217}" destId="{4BF45D68-5E00-46AB-B788-D928349639DF}" srcOrd="5" destOrd="0" presId="urn:microsoft.com/office/officeart/2005/8/layout/hierarchy2"/>
    <dgm:cxn modelId="{E7BF6A38-D9AA-4A03-B068-5C263746C916}" type="presParOf" srcId="{4BF45D68-5E00-46AB-B788-D928349639DF}" destId="{9C1313D9-A264-4A8A-A1F7-89DC80417C0A}" srcOrd="0" destOrd="0" presId="urn:microsoft.com/office/officeart/2005/8/layout/hierarchy2"/>
    <dgm:cxn modelId="{537110AA-1D4C-4C83-AFC3-B6311B2FE7CF}" type="presParOf" srcId="{4BF45D68-5E00-46AB-B788-D928349639DF}" destId="{19AAF900-C074-467D-A8D4-750424B61F65}" srcOrd="1" destOrd="0" presId="urn:microsoft.com/office/officeart/2005/8/layout/hierarchy2"/>
    <dgm:cxn modelId="{751F347C-1300-4E39-B430-4D93DD08C807}" type="presParOf" srcId="{19AAF900-C074-467D-A8D4-750424B61F65}" destId="{59E89D57-95BB-43FB-AA51-66CD6144928C}" srcOrd="0" destOrd="0" presId="urn:microsoft.com/office/officeart/2005/8/layout/hierarchy2"/>
    <dgm:cxn modelId="{62D5444F-9E13-43C6-8130-D9CEF9F033E3}" type="presParOf" srcId="{59E89D57-95BB-43FB-AA51-66CD6144928C}" destId="{15B628E7-4237-4F9C-8362-75082F728511}" srcOrd="0" destOrd="0" presId="urn:microsoft.com/office/officeart/2005/8/layout/hierarchy2"/>
    <dgm:cxn modelId="{5E2F57C7-69D0-4438-9F49-057DA2336026}" type="presParOf" srcId="{19AAF900-C074-467D-A8D4-750424B61F65}" destId="{415E5FED-54D5-416D-9814-3EC42939620A}" srcOrd="1" destOrd="0" presId="urn:microsoft.com/office/officeart/2005/8/layout/hierarchy2"/>
    <dgm:cxn modelId="{66D8D424-6B2B-4253-B577-9638FCEADBF0}" type="presParOf" srcId="{415E5FED-54D5-416D-9814-3EC42939620A}" destId="{3C6FDB14-57D3-4FF6-B2FB-F58B1030D227}" srcOrd="0" destOrd="0" presId="urn:microsoft.com/office/officeart/2005/8/layout/hierarchy2"/>
    <dgm:cxn modelId="{EE620664-9D11-4FFF-AC65-F5ECAD7271D1}" type="presParOf" srcId="{415E5FED-54D5-416D-9814-3EC42939620A}" destId="{DB9F5C71-2F02-4F50-837B-40A237EB36DF}" srcOrd="1" destOrd="0" presId="urn:microsoft.com/office/officeart/2005/8/layout/hierarchy2"/>
    <dgm:cxn modelId="{3CAC286F-2F9F-4A86-8CAD-9708D35071C5}" type="presParOf" srcId="{75661511-AFC7-48FB-BC09-3AD08CD0F217}" destId="{AAB5B30E-BC77-48CF-8538-C3D09F5AD347}" srcOrd="6" destOrd="0" presId="urn:microsoft.com/office/officeart/2005/8/layout/hierarchy2"/>
    <dgm:cxn modelId="{577724EE-92B0-4A0C-AE29-74620A76E077}" type="presParOf" srcId="{AAB5B30E-BC77-48CF-8538-C3D09F5AD347}" destId="{9C1129F0-D449-4E98-9474-B19FF3164208}" srcOrd="0" destOrd="0" presId="urn:microsoft.com/office/officeart/2005/8/layout/hierarchy2"/>
    <dgm:cxn modelId="{EF8FF8AC-AE5E-4A02-B0C9-5734CF5D138D}" type="presParOf" srcId="{75661511-AFC7-48FB-BC09-3AD08CD0F217}" destId="{9C37DCAA-47D4-435B-82D2-B021FFBF58A1}" srcOrd="7" destOrd="0" presId="urn:microsoft.com/office/officeart/2005/8/layout/hierarchy2"/>
    <dgm:cxn modelId="{78118477-6BAA-43D0-9612-67BDC8E43E3C}" type="presParOf" srcId="{9C37DCAA-47D4-435B-82D2-B021FFBF58A1}" destId="{C3DA6826-C683-4D26-B051-8765A1EB01FC}" srcOrd="0" destOrd="0" presId="urn:microsoft.com/office/officeart/2005/8/layout/hierarchy2"/>
    <dgm:cxn modelId="{635E6BEA-58E1-448E-A336-9ED5131D8ABD}" type="presParOf" srcId="{9C37DCAA-47D4-435B-82D2-B021FFBF58A1}" destId="{0FB1CDEB-4927-48F8-81D1-8850963BD322}" srcOrd="1" destOrd="0" presId="urn:microsoft.com/office/officeart/2005/8/layout/hierarchy2"/>
    <dgm:cxn modelId="{0A000CFA-33DD-4D93-90A0-CB0262FA876F}" type="presParOf" srcId="{0FB1CDEB-4927-48F8-81D1-8850963BD322}" destId="{34059CDD-D0C8-4D1B-9BCB-B444D716A974}" srcOrd="0" destOrd="0" presId="urn:microsoft.com/office/officeart/2005/8/layout/hierarchy2"/>
    <dgm:cxn modelId="{E1A7083D-2966-4D95-9808-EDFC63E304B9}" type="presParOf" srcId="{34059CDD-D0C8-4D1B-9BCB-B444D716A974}" destId="{93F9BDF3-EC88-43DC-853C-FFE94FAFC9FB}" srcOrd="0" destOrd="0" presId="urn:microsoft.com/office/officeart/2005/8/layout/hierarchy2"/>
    <dgm:cxn modelId="{2578402A-42C0-4243-A038-D6B7E28E0727}" type="presParOf" srcId="{0FB1CDEB-4927-48F8-81D1-8850963BD322}" destId="{4FAA543B-C733-4327-87D8-F8FA63191BC1}" srcOrd="1" destOrd="0" presId="urn:microsoft.com/office/officeart/2005/8/layout/hierarchy2"/>
    <dgm:cxn modelId="{1EDF5B1C-31EF-42A8-AA83-10200AC76C53}" type="presParOf" srcId="{4FAA543B-C733-4327-87D8-F8FA63191BC1}" destId="{BE11782B-A716-429B-8953-E84870E78A31}" srcOrd="0" destOrd="0" presId="urn:microsoft.com/office/officeart/2005/8/layout/hierarchy2"/>
    <dgm:cxn modelId="{D3571F68-D34E-461F-BFB0-44840D005F31}" type="presParOf" srcId="{4FAA543B-C733-4327-87D8-F8FA63191BC1}" destId="{6765D676-D6FA-4495-9930-E1773A789BDD}" srcOrd="1" destOrd="0" presId="urn:microsoft.com/office/officeart/2005/8/layout/hierarchy2"/>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7DA47629-F7F0-4921-B602-DD9A8BF5CF57}" type="doc">
      <dgm:prSet loTypeId="urn:microsoft.com/office/officeart/2005/8/layout/hierarchy2" loCatId="hierarchy" qsTypeId="urn:microsoft.com/office/officeart/2005/8/quickstyle/simple1" qsCatId="simple" csTypeId="urn:microsoft.com/office/officeart/2005/8/colors/accent0_1" csCatId="mainScheme" phldr="1"/>
      <dgm:spPr/>
      <dgm:t>
        <a:bodyPr/>
        <a:lstStyle/>
        <a:p>
          <a:endParaRPr lang="hu-HU"/>
        </a:p>
      </dgm:t>
    </dgm:pt>
    <dgm:pt modelId="{00229D74-0B96-4508-AC11-7AF7A68CF39A}">
      <dgm:prSet phldrT="[Szöveg]"/>
      <dgm:spPr/>
      <dgm:t>
        <a:bodyPr/>
        <a:lstStyle/>
        <a:p>
          <a:r>
            <a:rPr lang="hu-HU">
              <a:latin typeface="Times New Roman" pitchFamily="18" charset="0"/>
              <a:cs typeface="Times New Roman" pitchFamily="18" charset="0"/>
            </a:rPr>
            <a:t>Környezetvédelmi adók</a:t>
          </a:r>
        </a:p>
      </dgm:t>
    </dgm:pt>
    <dgm:pt modelId="{615D09BE-A92F-4CFD-B2E2-FC0F0FFF0C22}" type="parTrans" cxnId="{DA50C830-7FC9-420F-8922-6C725B100EA3}">
      <dgm:prSet/>
      <dgm:spPr/>
      <dgm:t>
        <a:bodyPr/>
        <a:lstStyle/>
        <a:p>
          <a:endParaRPr lang="hu-HU"/>
        </a:p>
      </dgm:t>
    </dgm:pt>
    <dgm:pt modelId="{03AC087B-B622-4E45-BA8D-B333BBF8563E}" type="sibTrans" cxnId="{DA50C830-7FC9-420F-8922-6C725B100EA3}">
      <dgm:prSet/>
      <dgm:spPr/>
      <dgm:t>
        <a:bodyPr/>
        <a:lstStyle/>
        <a:p>
          <a:endParaRPr lang="hu-HU"/>
        </a:p>
      </dgm:t>
    </dgm:pt>
    <dgm:pt modelId="{95A9E60C-0519-445A-BACE-7DEB3E9CC7F4}">
      <dgm:prSet phldrT="[Szöveg]"/>
      <dgm:spPr/>
      <dgm:t>
        <a:bodyPr/>
        <a:lstStyle/>
        <a:p>
          <a:r>
            <a:rPr lang="hu-HU">
              <a:latin typeface="Times New Roman" pitchFamily="18" charset="0"/>
              <a:cs typeface="Times New Roman" pitchFamily="18" charset="0"/>
            </a:rPr>
            <a:t>Energiaadó</a:t>
          </a:r>
        </a:p>
      </dgm:t>
    </dgm:pt>
    <dgm:pt modelId="{98E9762B-FFF8-44FE-A5DA-14E43694522C}" type="parTrans" cxnId="{7A20709D-3B49-44FB-B806-FF0717EECF54}">
      <dgm:prSet/>
      <dgm:spPr/>
      <dgm:t>
        <a:bodyPr/>
        <a:lstStyle/>
        <a:p>
          <a:endParaRPr lang="hu-HU">
            <a:latin typeface="Times New Roman" pitchFamily="18" charset="0"/>
            <a:cs typeface="Times New Roman" pitchFamily="18" charset="0"/>
          </a:endParaRPr>
        </a:p>
      </dgm:t>
    </dgm:pt>
    <dgm:pt modelId="{CEEB76A7-06B8-4F44-A7CD-292F7AA0E634}" type="sibTrans" cxnId="{7A20709D-3B49-44FB-B806-FF0717EECF54}">
      <dgm:prSet/>
      <dgm:spPr/>
      <dgm:t>
        <a:bodyPr/>
        <a:lstStyle/>
        <a:p>
          <a:endParaRPr lang="hu-HU"/>
        </a:p>
      </dgm:t>
    </dgm:pt>
    <dgm:pt modelId="{F885D169-BE4F-432A-AD50-DFF1E0B866E3}">
      <dgm:prSet phldrT="[Szöveg]"/>
      <dgm:spPr/>
      <dgm:t>
        <a:bodyPr/>
        <a:lstStyle/>
        <a:p>
          <a:r>
            <a:rPr lang="hu-HU">
              <a:latin typeface="Times New Roman" pitchFamily="18" charset="0"/>
              <a:cs typeface="Times New Roman" pitchFamily="18" charset="0"/>
            </a:rPr>
            <a:t>Villamos-energiaadó</a:t>
          </a:r>
        </a:p>
      </dgm:t>
    </dgm:pt>
    <dgm:pt modelId="{F8971A4F-5326-4C92-9033-64939221B593}" type="parTrans" cxnId="{AED65042-211D-47F8-8527-EB72E6705054}">
      <dgm:prSet/>
      <dgm:spPr/>
      <dgm:t>
        <a:bodyPr/>
        <a:lstStyle/>
        <a:p>
          <a:endParaRPr lang="hu-HU">
            <a:latin typeface="Times New Roman" pitchFamily="18" charset="0"/>
            <a:cs typeface="Times New Roman" pitchFamily="18" charset="0"/>
          </a:endParaRPr>
        </a:p>
      </dgm:t>
    </dgm:pt>
    <dgm:pt modelId="{D52EACBC-C805-411E-B434-B5C16F5B5F35}" type="sibTrans" cxnId="{AED65042-211D-47F8-8527-EB72E6705054}">
      <dgm:prSet/>
      <dgm:spPr/>
      <dgm:t>
        <a:bodyPr/>
        <a:lstStyle/>
        <a:p>
          <a:endParaRPr lang="hu-HU"/>
        </a:p>
      </dgm:t>
    </dgm:pt>
    <dgm:pt modelId="{91582162-AEE9-490C-8E4B-9BF24B27460B}">
      <dgm:prSet phldrT="[Szöveg]"/>
      <dgm:spPr/>
      <dgm:t>
        <a:bodyPr/>
        <a:lstStyle/>
        <a:p>
          <a:r>
            <a:rPr lang="hu-HU">
              <a:latin typeface="Times New Roman" pitchFamily="18" charset="0"/>
              <a:cs typeface="Times New Roman" pitchFamily="18" charset="0"/>
            </a:rPr>
            <a:t>Földgázadó</a:t>
          </a:r>
        </a:p>
      </dgm:t>
    </dgm:pt>
    <dgm:pt modelId="{528C312C-19D0-4AC4-A009-DC8FEF278F13}" type="parTrans" cxnId="{59BAB3B3-F2BC-4721-B289-425357291869}">
      <dgm:prSet/>
      <dgm:spPr/>
      <dgm:t>
        <a:bodyPr/>
        <a:lstStyle/>
        <a:p>
          <a:endParaRPr lang="hu-HU">
            <a:latin typeface="Times New Roman" pitchFamily="18" charset="0"/>
            <a:cs typeface="Times New Roman" pitchFamily="18" charset="0"/>
          </a:endParaRPr>
        </a:p>
      </dgm:t>
    </dgm:pt>
    <dgm:pt modelId="{235477CB-3C9F-4E28-98CA-19A701EAC124}" type="sibTrans" cxnId="{59BAB3B3-F2BC-4721-B289-425357291869}">
      <dgm:prSet/>
      <dgm:spPr/>
      <dgm:t>
        <a:bodyPr/>
        <a:lstStyle/>
        <a:p>
          <a:endParaRPr lang="hu-HU"/>
        </a:p>
      </dgm:t>
    </dgm:pt>
    <dgm:pt modelId="{83272400-5B14-41A8-8A1E-0B002EEF8D88}">
      <dgm:prSet phldrT="[Szöveg]"/>
      <dgm:spPr/>
      <dgm:t>
        <a:bodyPr/>
        <a:lstStyle/>
        <a:p>
          <a:r>
            <a:rPr lang="hu-HU">
              <a:latin typeface="Times New Roman" pitchFamily="18" charset="0"/>
              <a:cs typeface="Times New Roman" pitchFamily="18" charset="0"/>
            </a:rPr>
            <a:t>Szennyezési adók</a:t>
          </a:r>
        </a:p>
      </dgm:t>
    </dgm:pt>
    <dgm:pt modelId="{BDF4EC06-70EE-466F-B4C7-BA837949946E}" type="parTrans" cxnId="{5C7C0713-D2E0-4F22-894E-5A558C98DA6F}">
      <dgm:prSet/>
      <dgm:spPr/>
      <dgm:t>
        <a:bodyPr/>
        <a:lstStyle/>
        <a:p>
          <a:endParaRPr lang="hu-HU">
            <a:latin typeface="Times New Roman" pitchFamily="18" charset="0"/>
            <a:cs typeface="Times New Roman" pitchFamily="18" charset="0"/>
          </a:endParaRPr>
        </a:p>
      </dgm:t>
    </dgm:pt>
    <dgm:pt modelId="{EA1D0F1B-4FEC-443B-9ECD-5ECCDB3B1712}" type="sibTrans" cxnId="{5C7C0713-D2E0-4F22-894E-5A558C98DA6F}">
      <dgm:prSet/>
      <dgm:spPr/>
      <dgm:t>
        <a:bodyPr/>
        <a:lstStyle/>
        <a:p>
          <a:endParaRPr lang="hu-HU"/>
        </a:p>
      </dgm:t>
    </dgm:pt>
    <dgm:pt modelId="{C34C4638-195C-4224-AFA3-8A1477DA63F1}">
      <dgm:prSet phldrT="[Szöveg]"/>
      <dgm:spPr/>
      <dgm:t>
        <a:bodyPr/>
        <a:lstStyle/>
        <a:p>
          <a:r>
            <a:rPr lang="hu-HU">
              <a:latin typeface="Times New Roman" pitchFamily="18" charset="0"/>
              <a:cs typeface="Times New Roman" pitchFamily="18" charset="0"/>
            </a:rPr>
            <a:t>Szénadó</a:t>
          </a:r>
        </a:p>
      </dgm:t>
    </dgm:pt>
    <dgm:pt modelId="{5F11A6E2-6FD1-4596-8D63-A79522E39528}" type="parTrans" cxnId="{E85AD1CA-CF05-4D00-8691-9300EDF753C5}">
      <dgm:prSet/>
      <dgm:spPr/>
      <dgm:t>
        <a:bodyPr/>
        <a:lstStyle/>
        <a:p>
          <a:endParaRPr lang="hu-HU">
            <a:latin typeface="Times New Roman" pitchFamily="18" charset="0"/>
            <a:cs typeface="Times New Roman" pitchFamily="18" charset="0"/>
          </a:endParaRPr>
        </a:p>
      </dgm:t>
    </dgm:pt>
    <dgm:pt modelId="{292BF141-088E-404B-AAB0-FD26BABA9E7B}" type="sibTrans" cxnId="{E85AD1CA-CF05-4D00-8691-9300EDF753C5}">
      <dgm:prSet/>
      <dgm:spPr/>
      <dgm:t>
        <a:bodyPr/>
        <a:lstStyle/>
        <a:p>
          <a:endParaRPr lang="hu-HU"/>
        </a:p>
      </dgm:t>
    </dgm:pt>
    <dgm:pt modelId="{F9FBBC6D-E81C-4517-8670-241A986C82C2}">
      <dgm:prSet phldrT="[Szöveg]"/>
      <dgm:spPr/>
      <dgm:t>
        <a:bodyPr/>
        <a:lstStyle/>
        <a:p>
          <a:r>
            <a:rPr lang="hu-HU">
              <a:latin typeface="Times New Roman" pitchFamily="18" charset="0"/>
              <a:cs typeface="Times New Roman" pitchFamily="18" charset="0"/>
            </a:rPr>
            <a:t>Erőforrásadók</a:t>
          </a:r>
        </a:p>
      </dgm:t>
    </dgm:pt>
    <dgm:pt modelId="{C370D282-AE59-4305-B243-A7031298F440}" type="parTrans" cxnId="{5D182385-9176-44B9-923E-DE0AA927EE5B}">
      <dgm:prSet/>
      <dgm:spPr/>
      <dgm:t>
        <a:bodyPr/>
        <a:lstStyle/>
        <a:p>
          <a:endParaRPr lang="hu-HU">
            <a:latin typeface="Times New Roman" pitchFamily="18" charset="0"/>
            <a:cs typeface="Times New Roman" pitchFamily="18" charset="0"/>
          </a:endParaRPr>
        </a:p>
      </dgm:t>
    </dgm:pt>
    <dgm:pt modelId="{95727757-A770-47DF-ADEA-2CE1B27AE8E4}" type="sibTrans" cxnId="{5D182385-9176-44B9-923E-DE0AA927EE5B}">
      <dgm:prSet/>
      <dgm:spPr/>
      <dgm:t>
        <a:bodyPr/>
        <a:lstStyle/>
        <a:p>
          <a:endParaRPr lang="hu-HU"/>
        </a:p>
      </dgm:t>
    </dgm:pt>
    <dgm:pt modelId="{FB37D6C9-C9E2-4A98-A6E3-D6C6BE87E266}">
      <dgm:prSet phldrT="[Szöveg]"/>
      <dgm:spPr/>
      <dgm:t>
        <a:bodyPr/>
        <a:lstStyle/>
        <a:p>
          <a:r>
            <a:rPr lang="hu-HU">
              <a:latin typeface="Times New Roman" pitchFamily="18" charset="0"/>
              <a:cs typeface="Times New Roman" pitchFamily="18" charset="0"/>
            </a:rPr>
            <a:t>Közlekedési adók</a:t>
          </a:r>
        </a:p>
      </dgm:t>
    </dgm:pt>
    <dgm:pt modelId="{BFCF8279-B044-4D7D-9731-1AFD08CB831F}" type="parTrans" cxnId="{C87AD383-0E75-431C-9D75-60935B3B4EB5}">
      <dgm:prSet/>
      <dgm:spPr/>
      <dgm:t>
        <a:bodyPr/>
        <a:lstStyle/>
        <a:p>
          <a:endParaRPr lang="hu-HU">
            <a:latin typeface="Times New Roman" pitchFamily="18" charset="0"/>
            <a:cs typeface="Times New Roman" pitchFamily="18" charset="0"/>
          </a:endParaRPr>
        </a:p>
      </dgm:t>
    </dgm:pt>
    <dgm:pt modelId="{8F4BD12F-6198-4BEF-BCDF-85430F686847}" type="sibTrans" cxnId="{C87AD383-0E75-431C-9D75-60935B3B4EB5}">
      <dgm:prSet/>
      <dgm:spPr/>
      <dgm:t>
        <a:bodyPr/>
        <a:lstStyle/>
        <a:p>
          <a:endParaRPr lang="hu-HU"/>
        </a:p>
      </dgm:t>
    </dgm:pt>
    <dgm:pt modelId="{254FBCDA-CF15-4BED-965B-8A6A0477CB2B}" type="pres">
      <dgm:prSet presAssocID="{7DA47629-F7F0-4921-B602-DD9A8BF5CF57}" presName="diagram" presStyleCnt="0">
        <dgm:presLayoutVars>
          <dgm:chPref val="1"/>
          <dgm:dir/>
          <dgm:animOne val="branch"/>
          <dgm:animLvl val="lvl"/>
          <dgm:resizeHandles val="exact"/>
        </dgm:presLayoutVars>
      </dgm:prSet>
      <dgm:spPr/>
      <dgm:t>
        <a:bodyPr/>
        <a:lstStyle/>
        <a:p>
          <a:endParaRPr lang="hu-HU"/>
        </a:p>
      </dgm:t>
    </dgm:pt>
    <dgm:pt modelId="{CF2B1531-2B2F-4B47-BBE6-2A458EF65FF4}" type="pres">
      <dgm:prSet presAssocID="{00229D74-0B96-4508-AC11-7AF7A68CF39A}" presName="root1" presStyleCnt="0"/>
      <dgm:spPr/>
    </dgm:pt>
    <dgm:pt modelId="{2EE536E0-E3D2-4A98-83D2-1BCAB06E331A}" type="pres">
      <dgm:prSet presAssocID="{00229D74-0B96-4508-AC11-7AF7A68CF39A}" presName="LevelOneTextNode" presStyleLbl="node0" presStyleIdx="0" presStyleCnt="1">
        <dgm:presLayoutVars>
          <dgm:chPref val="3"/>
        </dgm:presLayoutVars>
      </dgm:prSet>
      <dgm:spPr/>
      <dgm:t>
        <a:bodyPr/>
        <a:lstStyle/>
        <a:p>
          <a:endParaRPr lang="hu-HU"/>
        </a:p>
      </dgm:t>
    </dgm:pt>
    <dgm:pt modelId="{D636C042-32DC-4E50-8F3B-B9EFFB2F323F}" type="pres">
      <dgm:prSet presAssocID="{00229D74-0B96-4508-AC11-7AF7A68CF39A}" presName="level2hierChild" presStyleCnt="0"/>
      <dgm:spPr/>
    </dgm:pt>
    <dgm:pt modelId="{0A974841-25E1-45E1-8E3D-FA06EC91754A}" type="pres">
      <dgm:prSet presAssocID="{98E9762B-FFF8-44FE-A5DA-14E43694522C}" presName="conn2-1" presStyleLbl="parChTrans1D2" presStyleIdx="0" presStyleCnt="4"/>
      <dgm:spPr/>
      <dgm:t>
        <a:bodyPr/>
        <a:lstStyle/>
        <a:p>
          <a:endParaRPr lang="hu-HU"/>
        </a:p>
      </dgm:t>
    </dgm:pt>
    <dgm:pt modelId="{E536A0E4-D703-4DB1-AE5F-993BB8E94F44}" type="pres">
      <dgm:prSet presAssocID="{98E9762B-FFF8-44FE-A5DA-14E43694522C}" presName="connTx" presStyleLbl="parChTrans1D2" presStyleIdx="0" presStyleCnt="4"/>
      <dgm:spPr/>
      <dgm:t>
        <a:bodyPr/>
        <a:lstStyle/>
        <a:p>
          <a:endParaRPr lang="hu-HU"/>
        </a:p>
      </dgm:t>
    </dgm:pt>
    <dgm:pt modelId="{CD6B52E4-78D5-42C7-A720-E1D849F37C62}" type="pres">
      <dgm:prSet presAssocID="{95A9E60C-0519-445A-BACE-7DEB3E9CC7F4}" presName="root2" presStyleCnt="0"/>
      <dgm:spPr/>
    </dgm:pt>
    <dgm:pt modelId="{AD2834D1-AC85-47F9-86F8-F43A2B9372FC}" type="pres">
      <dgm:prSet presAssocID="{95A9E60C-0519-445A-BACE-7DEB3E9CC7F4}" presName="LevelTwoTextNode" presStyleLbl="node2" presStyleIdx="0" presStyleCnt="4">
        <dgm:presLayoutVars>
          <dgm:chPref val="3"/>
        </dgm:presLayoutVars>
      </dgm:prSet>
      <dgm:spPr/>
      <dgm:t>
        <a:bodyPr/>
        <a:lstStyle/>
        <a:p>
          <a:endParaRPr lang="hu-HU"/>
        </a:p>
      </dgm:t>
    </dgm:pt>
    <dgm:pt modelId="{B88C27C6-4EAF-4C53-81F7-B6D935023171}" type="pres">
      <dgm:prSet presAssocID="{95A9E60C-0519-445A-BACE-7DEB3E9CC7F4}" presName="level3hierChild" presStyleCnt="0"/>
      <dgm:spPr/>
    </dgm:pt>
    <dgm:pt modelId="{F8AE7252-A9BA-4CE8-950D-2EF5BAFAE750}" type="pres">
      <dgm:prSet presAssocID="{F8971A4F-5326-4C92-9033-64939221B593}" presName="conn2-1" presStyleLbl="parChTrans1D3" presStyleIdx="0" presStyleCnt="3"/>
      <dgm:spPr/>
      <dgm:t>
        <a:bodyPr/>
        <a:lstStyle/>
        <a:p>
          <a:endParaRPr lang="hu-HU"/>
        </a:p>
      </dgm:t>
    </dgm:pt>
    <dgm:pt modelId="{73004D80-805D-47E7-B96E-EC7208640CB5}" type="pres">
      <dgm:prSet presAssocID="{F8971A4F-5326-4C92-9033-64939221B593}" presName="connTx" presStyleLbl="parChTrans1D3" presStyleIdx="0" presStyleCnt="3"/>
      <dgm:spPr/>
      <dgm:t>
        <a:bodyPr/>
        <a:lstStyle/>
        <a:p>
          <a:endParaRPr lang="hu-HU"/>
        </a:p>
      </dgm:t>
    </dgm:pt>
    <dgm:pt modelId="{E3F69DDE-CFF4-4577-A8E0-FA097064FD61}" type="pres">
      <dgm:prSet presAssocID="{F885D169-BE4F-432A-AD50-DFF1E0B866E3}" presName="root2" presStyleCnt="0"/>
      <dgm:spPr/>
    </dgm:pt>
    <dgm:pt modelId="{DCE1565D-727F-42DC-9535-CBC81169B9A2}" type="pres">
      <dgm:prSet presAssocID="{F885D169-BE4F-432A-AD50-DFF1E0B866E3}" presName="LevelTwoTextNode" presStyleLbl="node3" presStyleIdx="0" presStyleCnt="3">
        <dgm:presLayoutVars>
          <dgm:chPref val="3"/>
        </dgm:presLayoutVars>
      </dgm:prSet>
      <dgm:spPr/>
      <dgm:t>
        <a:bodyPr/>
        <a:lstStyle/>
        <a:p>
          <a:endParaRPr lang="hu-HU"/>
        </a:p>
      </dgm:t>
    </dgm:pt>
    <dgm:pt modelId="{9CB71E93-5B8F-46A5-90FF-6FF1E105BA5D}" type="pres">
      <dgm:prSet presAssocID="{F885D169-BE4F-432A-AD50-DFF1E0B866E3}" presName="level3hierChild" presStyleCnt="0"/>
      <dgm:spPr/>
    </dgm:pt>
    <dgm:pt modelId="{5E0BA186-D21F-40C8-AF22-2E91386FBCCD}" type="pres">
      <dgm:prSet presAssocID="{528C312C-19D0-4AC4-A009-DC8FEF278F13}" presName="conn2-1" presStyleLbl="parChTrans1D3" presStyleIdx="1" presStyleCnt="3"/>
      <dgm:spPr/>
      <dgm:t>
        <a:bodyPr/>
        <a:lstStyle/>
        <a:p>
          <a:endParaRPr lang="hu-HU"/>
        </a:p>
      </dgm:t>
    </dgm:pt>
    <dgm:pt modelId="{92DF7AC9-7E9E-49A0-BD2C-C216FA8B101B}" type="pres">
      <dgm:prSet presAssocID="{528C312C-19D0-4AC4-A009-DC8FEF278F13}" presName="connTx" presStyleLbl="parChTrans1D3" presStyleIdx="1" presStyleCnt="3"/>
      <dgm:spPr/>
      <dgm:t>
        <a:bodyPr/>
        <a:lstStyle/>
        <a:p>
          <a:endParaRPr lang="hu-HU"/>
        </a:p>
      </dgm:t>
    </dgm:pt>
    <dgm:pt modelId="{14665383-5D4F-49AF-A24E-D9B21A2B3ABC}" type="pres">
      <dgm:prSet presAssocID="{91582162-AEE9-490C-8E4B-9BF24B27460B}" presName="root2" presStyleCnt="0"/>
      <dgm:spPr/>
    </dgm:pt>
    <dgm:pt modelId="{798B842B-8A64-42B4-A72C-659D80CE9471}" type="pres">
      <dgm:prSet presAssocID="{91582162-AEE9-490C-8E4B-9BF24B27460B}" presName="LevelTwoTextNode" presStyleLbl="node3" presStyleIdx="1" presStyleCnt="3">
        <dgm:presLayoutVars>
          <dgm:chPref val="3"/>
        </dgm:presLayoutVars>
      </dgm:prSet>
      <dgm:spPr/>
      <dgm:t>
        <a:bodyPr/>
        <a:lstStyle/>
        <a:p>
          <a:endParaRPr lang="hu-HU"/>
        </a:p>
      </dgm:t>
    </dgm:pt>
    <dgm:pt modelId="{7EFE5046-D179-4105-A9E3-E1E8321742B4}" type="pres">
      <dgm:prSet presAssocID="{91582162-AEE9-490C-8E4B-9BF24B27460B}" presName="level3hierChild" presStyleCnt="0"/>
      <dgm:spPr/>
    </dgm:pt>
    <dgm:pt modelId="{61FF2824-ED07-43F5-90C7-B24391E94D00}" type="pres">
      <dgm:prSet presAssocID="{5F11A6E2-6FD1-4596-8D63-A79522E39528}" presName="conn2-1" presStyleLbl="parChTrans1D3" presStyleIdx="2" presStyleCnt="3"/>
      <dgm:spPr/>
      <dgm:t>
        <a:bodyPr/>
        <a:lstStyle/>
        <a:p>
          <a:endParaRPr lang="hu-HU"/>
        </a:p>
      </dgm:t>
    </dgm:pt>
    <dgm:pt modelId="{0F2202D3-C7E8-4FA4-AB9E-0CCA4403E668}" type="pres">
      <dgm:prSet presAssocID="{5F11A6E2-6FD1-4596-8D63-A79522E39528}" presName="connTx" presStyleLbl="parChTrans1D3" presStyleIdx="2" presStyleCnt="3"/>
      <dgm:spPr/>
      <dgm:t>
        <a:bodyPr/>
        <a:lstStyle/>
        <a:p>
          <a:endParaRPr lang="hu-HU"/>
        </a:p>
      </dgm:t>
    </dgm:pt>
    <dgm:pt modelId="{A8BEB16B-7AD1-4EDC-B161-0D1B66DF5C65}" type="pres">
      <dgm:prSet presAssocID="{C34C4638-195C-4224-AFA3-8A1477DA63F1}" presName="root2" presStyleCnt="0"/>
      <dgm:spPr/>
    </dgm:pt>
    <dgm:pt modelId="{99D85AED-6C22-495D-8A23-045705226502}" type="pres">
      <dgm:prSet presAssocID="{C34C4638-195C-4224-AFA3-8A1477DA63F1}" presName="LevelTwoTextNode" presStyleLbl="node3" presStyleIdx="2" presStyleCnt="3">
        <dgm:presLayoutVars>
          <dgm:chPref val="3"/>
        </dgm:presLayoutVars>
      </dgm:prSet>
      <dgm:spPr/>
      <dgm:t>
        <a:bodyPr/>
        <a:lstStyle/>
        <a:p>
          <a:endParaRPr lang="hu-HU"/>
        </a:p>
      </dgm:t>
    </dgm:pt>
    <dgm:pt modelId="{3CE3C69C-86B8-489D-9725-3B990B97F252}" type="pres">
      <dgm:prSet presAssocID="{C34C4638-195C-4224-AFA3-8A1477DA63F1}" presName="level3hierChild" presStyleCnt="0"/>
      <dgm:spPr/>
    </dgm:pt>
    <dgm:pt modelId="{3F48B920-9EC7-4182-8B05-07BF246F24C9}" type="pres">
      <dgm:prSet presAssocID="{BDF4EC06-70EE-466F-B4C7-BA837949946E}" presName="conn2-1" presStyleLbl="parChTrans1D2" presStyleIdx="1" presStyleCnt="4"/>
      <dgm:spPr/>
      <dgm:t>
        <a:bodyPr/>
        <a:lstStyle/>
        <a:p>
          <a:endParaRPr lang="hu-HU"/>
        </a:p>
      </dgm:t>
    </dgm:pt>
    <dgm:pt modelId="{A85D3DA3-D14D-4784-B45A-B46D50515D80}" type="pres">
      <dgm:prSet presAssocID="{BDF4EC06-70EE-466F-B4C7-BA837949946E}" presName="connTx" presStyleLbl="parChTrans1D2" presStyleIdx="1" presStyleCnt="4"/>
      <dgm:spPr/>
      <dgm:t>
        <a:bodyPr/>
        <a:lstStyle/>
        <a:p>
          <a:endParaRPr lang="hu-HU"/>
        </a:p>
      </dgm:t>
    </dgm:pt>
    <dgm:pt modelId="{7BA35194-65F9-4001-911E-0210622F8448}" type="pres">
      <dgm:prSet presAssocID="{83272400-5B14-41A8-8A1E-0B002EEF8D88}" presName="root2" presStyleCnt="0"/>
      <dgm:spPr/>
    </dgm:pt>
    <dgm:pt modelId="{4085C3E0-FE38-4320-B53A-E6BDE068FD87}" type="pres">
      <dgm:prSet presAssocID="{83272400-5B14-41A8-8A1E-0B002EEF8D88}" presName="LevelTwoTextNode" presStyleLbl="node2" presStyleIdx="1" presStyleCnt="4">
        <dgm:presLayoutVars>
          <dgm:chPref val="3"/>
        </dgm:presLayoutVars>
      </dgm:prSet>
      <dgm:spPr/>
      <dgm:t>
        <a:bodyPr/>
        <a:lstStyle/>
        <a:p>
          <a:endParaRPr lang="hu-HU"/>
        </a:p>
      </dgm:t>
    </dgm:pt>
    <dgm:pt modelId="{BC76F1CA-7430-459C-908B-501495BF5CFB}" type="pres">
      <dgm:prSet presAssocID="{83272400-5B14-41A8-8A1E-0B002EEF8D88}" presName="level3hierChild" presStyleCnt="0"/>
      <dgm:spPr/>
    </dgm:pt>
    <dgm:pt modelId="{611D8780-16FB-41F1-9693-633745B3C3A7}" type="pres">
      <dgm:prSet presAssocID="{C370D282-AE59-4305-B243-A7031298F440}" presName="conn2-1" presStyleLbl="parChTrans1D2" presStyleIdx="2" presStyleCnt="4"/>
      <dgm:spPr/>
      <dgm:t>
        <a:bodyPr/>
        <a:lstStyle/>
        <a:p>
          <a:endParaRPr lang="hu-HU"/>
        </a:p>
      </dgm:t>
    </dgm:pt>
    <dgm:pt modelId="{AF003FD4-0172-490C-8596-17DD57EFCEAF}" type="pres">
      <dgm:prSet presAssocID="{C370D282-AE59-4305-B243-A7031298F440}" presName="connTx" presStyleLbl="parChTrans1D2" presStyleIdx="2" presStyleCnt="4"/>
      <dgm:spPr/>
      <dgm:t>
        <a:bodyPr/>
        <a:lstStyle/>
        <a:p>
          <a:endParaRPr lang="hu-HU"/>
        </a:p>
      </dgm:t>
    </dgm:pt>
    <dgm:pt modelId="{5AC29DFD-DB21-4982-B3D4-8B1983D94E63}" type="pres">
      <dgm:prSet presAssocID="{F9FBBC6D-E81C-4517-8670-241A986C82C2}" presName="root2" presStyleCnt="0"/>
      <dgm:spPr/>
    </dgm:pt>
    <dgm:pt modelId="{52AF7C35-246D-47FD-9DC1-CDC04F46E18B}" type="pres">
      <dgm:prSet presAssocID="{F9FBBC6D-E81C-4517-8670-241A986C82C2}" presName="LevelTwoTextNode" presStyleLbl="node2" presStyleIdx="2" presStyleCnt="4">
        <dgm:presLayoutVars>
          <dgm:chPref val="3"/>
        </dgm:presLayoutVars>
      </dgm:prSet>
      <dgm:spPr/>
      <dgm:t>
        <a:bodyPr/>
        <a:lstStyle/>
        <a:p>
          <a:endParaRPr lang="hu-HU"/>
        </a:p>
      </dgm:t>
    </dgm:pt>
    <dgm:pt modelId="{F5EC685A-B536-4B28-A5C4-489A1431ED00}" type="pres">
      <dgm:prSet presAssocID="{F9FBBC6D-E81C-4517-8670-241A986C82C2}" presName="level3hierChild" presStyleCnt="0"/>
      <dgm:spPr/>
    </dgm:pt>
    <dgm:pt modelId="{C63C8DDD-09D6-4F65-AFE1-C7C18CD85ACE}" type="pres">
      <dgm:prSet presAssocID="{BFCF8279-B044-4D7D-9731-1AFD08CB831F}" presName="conn2-1" presStyleLbl="parChTrans1D2" presStyleIdx="3" presStyleCnt="4"/>
      <dgm:spPr/>
      <dgm:t>
        <a:bodyPr/>
        <a:lstStyle/>
        <a:p>
          <a:endParaRPr lang="hu-HU"/>
        </a:p>
      </dgm:t>
    </dgm:pt>
    <dgm:pt modelId="{5FC3C60A-6E9B-4AB2-B7CE-F5FC60D8659E}" type="pres">
      <dgm:prSet presAssocID="{BFCF8279-B044-4D7D-9731-1AFD08CB831F}" presName="connTx" presStyleLbl="parChTrans1D2" presStyleIdx="3" presStyleCnt="4"/>
      <dgm:spPr/>
      <dgm:t>
        <a:bodyPr/>
        <a:lstStyle/>
        <a:p>
          <a:endParaRPr lang="hu-HU"/>
        </a:p>
      </dgm:t>
    </dgm:pt>
    <dgm:pt modelId="{04042F8A-381F-4BAF-9390-680663712DB6}" type="pres">
      <dgm:prSet presAssocID="{FB37D6C9-C9E2-4A98-A6E3-D6C6BE87E266}" presName="root2" presStyleCnt="0"/>
      <dgm:spPr/>
    </dgm:pt>
    <dgm:pt modelId="{6139217D-B5B2-481A-8649-C2857512EA8E}" type="pres">
      <dgm:prSet presAssocID="{FB37D6C9-C9E2-4A98-A6E3-D6C6BE87E266}" presName="LevelTwoTextNode" presStyleLbl="node2" presStyleIdx="3" presStyleCnt="4">
        <dgm:presLayoutVars>
          <dgm:chPref val="3"/>
        </dgm:presLayoutVars>
      </dgm:prSet>
      <dgm:spPr/>
      <dgm:t>
        <a:bodyPr/>
        <a:lstStyle/>
        <a:p>
          <a:endParaRPr lang="hu-HU"/>
        </a:p>
      </dgm:t>
    </dgm:pt>
    <dgm:pt modelId="{B6B09F7A-21FD-4041-A21F-041C6CCC4C48}" type="pres">
      <dgm:prSet presAssocID="{FB37D6C9-C9E2-4A98-A6E3-D6C6BE87E266}" presName="level3hierChild" presStyleCnt="0"/>
      <dgm:spPr/>
    </dgm:pt>
  </dgm:ptLst>
  <dgm:cxnLst>
    <dgm:cxn modelId="{5C7C0713-D2E0-4F22-894E-5A558C98DA6F}" srcId="{00229D74-0B96-4508-AC11-7AF7A68CF39A}" destId="{83272400-5B14-41A8-8A1E-0B002EEF8D88}" srcOrd="1" destOrd="0" parTransId="{BDF4EC06-70EE-466F-B4C7-BA837949946E}" sibTransId="{EA1D0F1B-4FEC-443B-9ECD-5ECCDB3B1712}"/>
    <dgm:cxn modelId="{E85AD1CA-CF05-4D00-8691-9300EDF753C5}" srcId="{95A9E60C-0519-445A-BACE-7DEB3E9CC7F4}" destId="{C34C4638-195C-4224-AFA3-8A1477DA63F1}" srcOrd="2" destOrd="0" parTransId="{5F11A6E2-6FD1-4596-8D63-A79522E39528}" sibTransId="{292BF141-088E-404B-AAB0-FD26BABA9E7B}"/>
    <dgm:cxn modelId="{C6D4A635-6E31-4C6D-954B-F3AEAAF24443}" type="presOf" srcId="{7DA47629-F7F0-4921-B602-DD9A8BF5CF57}" destId="{254FBCDA-CF15-4BED-965B-8A6A0477CB2B}" srcOrd="0" destOrd="0" presId="urn:microsoft.com/office/officeart/2005/8/layout/hierarchy2"/>
    <dgm:cxn modelId="{7A20709D-3B49-44FB-B806-FF0717EECF54}" srcId="{00229D74-0B96-4508-AC11-7AF7A68CF39A}" destId="{95A9E60C-0519-445A-BACE-7DEB3E9CC7F4}" srcOrd="0" destOrd="0" parTransId="{98E9762B-FFF8-44FE-A5DA-14E43694522C}" sibTransId="{CEEB76A7-06B8-4F44-A7CD-292F7AA0E634}"/>
    <dgm:cxn modelId="{543FF845-677C-40AA-9C75-C752BBE1EDE0}" type="presOf" srcId="{BDF4EC06-70EE-466F-B4C7-BA837949946E}" destId="{3F48B920-9EC7-4182-8B05-07BF246F24C9}" srcOrd="0" destOrd="0" presId="urn:microsoft.com/office/officeart/2005/8/layout/hierarchy2"/>
    <dgm:cxn modelId="{63C9BEED-6B8A-4112-9797-F996F0223D9D}" type="presOf" srcId="{F8971A4F-5326-4C92-9033-64939221B593}" destId="{73004D80-805D-47E7-B96E-EC7208640CB5}" srcOrd="1" destOrd="0" presId="urn:microsoft.com/office/officeart/2005/8/layout/hierarchy2"/>
    <dgm:cxn modelId="{CAF34F05-19E9-428C-8411-FA3C0C869275}" type="presOf" srcId="{95A9E60C-0519-445A-BACE-7DEB3E9CC7F4}" destId="{AD2834D1-AC85-47F9-86F8-F43A2B9372FC}" srcOrd="0" destOrd="0" presId="urn:microsoft.com/office/officeart/2005/8/layout/hierarchy2"/>
    <dgm:cxn modelId="{664BD8DC-9E98-4C1B-A08D-B56C87C7AD16}" type="presOf" srcId="{98E9762B-FFF8-44FE-A5DA-14E43694522C}" destId="{E536A0E4-D703-4DB1-AE5F-993BB8E94F44}" srcOrd="1" destOrd="0" presId="urn:microsoft.com/office/officeart/2005/8/layout/hierarchy2"/>
    <dgm:cxn modelId="{B77CAC1B-DF37-4BD7-A81D-FFE682C8619D}" type="presOf" srcId="{00229D74-0B96-4508-AC11-7AF7A68CF39A}" destId="{2EE536E0-E3D2-4A98-83D2-1BCAB06E331A}" srcOrd="0" destOrd="0" presId="urn:microsoft.com/office/officeart/2005/8/layout/hierarchy2"/>
    <dgm:cxn modelId="{7292B105-5563-4B32-9D4C-FA0ED1DB30BA}" type="presOf" srcId="{BFCF8279-B044-4D7D-9731-1AFD08CB831F}" destId="{C63C8DDD-09D6-4F65-AFE1-C7C18CD85ACE}" srcOrd="0" destOrd="0" presId="urn:microsoft.com/office/officeart/2005/8/layout/hierarchy2"/>
    <dgm:cxn modelId="{0C99533B-93D7-4B72-8851-C35D8E51B15D}" type="presOf" srcId="{C370D282-AE59-4305-B243-A7031298F440}" destId="{AF003FD4-0172-490C-8596-17DD57EFCEAF}" srcOrd="1" destOrd="0" presId="urn:microsoft.com/office/officeart/2005/8/layout/hierarchy2"/>
    <dgm:cxn modelId="{DA50C830-7FC9-420F-8922-6C725B100EA3}" srcId="{7DA47629-F7F0-4921-B602-DD9A8BF5CF57}" destId="{00229D74-0B96-4508-AC11-7AF7A68CF39A}" srcOrd="0" destOrd="0" parTransId="{615D09BE-A92F-4CFD-B2E2-FC0F0FFF0C22}" sibTransId="{03AC087B-B622-4E45-BA8D-B333BBF8563E}"/>
    <dgm:cxn modelId="{BF59E631-38C4-4B11-BE63-AFE8E6D10114}" type="presOf" srcId="{528C312C-19D0-4AC4-A009-DC8FEF278F13}" destId="{5E0BA186-D21F-40C8-AF22-2E91386FBCCD}" srcOrd="0" destOrd="0" presId="urn:microsoft.com/office/officeart/2005/8/layout/hierarchy2"/>
    <dgm:cxn modelId="{22A0A646-7027-42D8-A52A-33C242D36B26}" type="presOf" srcId="{91582162-AEE9-490C-8E4B-9BF24B27460B}" destId="{798B842B-8A64-42B4-A72C-659D80CE9471}" srcOrd="0" destOrd="0" presId="urn:microsoft.com/office/officeart/2005/8/layout/hierarchy2"/>
    <dgm:cxn modelId="{AED65042-211D-47F8-8527-EB72E6705054}" srcId="{95A9E60C-0519-445A-BACE-7DEB3E9CC7F4}" destId="{F885D169-BE4F-432A-AD50-DFF1E0B866E3}" srcOrd="0" destOrd="0" parTransId="{F8971A4F-5326-4C92-9033-64939221B593}" sibTransId="{D52EACBC-C805-411E-B434-B5C16F5B5F35}"/>
    <dgm:cxn modelId="{C87AD383-0E75-431C-9D75-60935B3B4EB5}" srcId="{00229D74-0B96-4508-AC11-7AF7A68CF39A}" destId="{FB37D6C9-C9E2-4A98-A6E3-D6C6BE87E266}" srcOrd="3" destOrd="0" parTransId="{BFCF8279-B044-4D7D-9731-1AFD08CB831F}" sibTransId="{8F4BD12F-6198-4BEF-BCDF-85430F686847}"/>
    <dgm:cxn modelId="{D37B1846-ACA7-4A2A-B4FF-CD754B0DC780}" type="presOf" srcId="{FB37D6C9-C9E2-4A98-A6E3-D6C6BE87E266}" destId="{6139217D-B5B2-481A-8649-C2857512EA8E}" srcOrd="0" destOrd="0" presId="urn:microsoft.com/office/officeart/2005/8/layout/hierarchy2"/>
    <dgm:cxn modelId="{B3BDB865-35ED-461A-9C1C-396ED7C321F2}" type="presOf" srcId="{5F11A6E2-6FD1-4596-8D63-A79522E39528}" destId="{61FF2824-ED07-43F5-90C7-B24391E94D00}" srcOrd="0" destOrd="0" presId="urn:microsoft.com/office/officeart/2005/8/layout/hierarchy2"/>
    <dgm:cxn modelId="{6731024B-4776-4243-8080-E10A01AF0B06}" type="presOf" srcId="{528C312C-19D0-4AC4-A009-DC8FEF278F13}" destId="{92DF7AC9-7E9E-49A0-BD2C-C216FA8B101B}" srcOrd="1" destOrd="0" presId="urn:microsoft.com/office/officeart/2005/8/layout/hierarchy2"/>
    <dgm:cxn modelId="{3697C1F8-6B9C-4FF3-B88B-79661C1D01BC}" type="presOf" srcId="{C370D282-AE59-4305-B243-A7031298F440}" destId="{611D8780-16FB-41F1-9693-633745B3C3A7}" srcOrd="0" destOrd="0" presId="urn:microsoft.com/office/officeart/2005/8/layout/hierarchy2"/>
    <dgm:cxn modelId="{C0FA591F-3FC5-4F2C-8A93-401DCECDA587}" type="presOf" srcId="{F9FBBC6D-E81C-4517-8670-241A986C82C2}" destId="{52AF7C35-246D-47FD-9DC1-CDC04F46E18B}" srcOrd="0" destOrd="0" presId="urn:microsoft.com/office/officeart/2005/8/layout/hierarchy2"/>
    <dgm:cxn modelId="{F6FF8D1E-A6BF-469E-AF36-880CF6A9CB07}" type="presOf" srcId="{F885D169-BE4F-432A-AD50-DFF1E0B866E3}" destId="{DCE1565D-727F-42DC-9535-CBC81169B9A2}" srcOrd="0" destOrd="0" presId="urn:microsoft.com/office/officeart/2005/8/layout/hierarchy2"/>
    <dgm:cxn modelId="{BEA5A684-97C5-4614-A585-FDFDA4E173DE}" type="presOf" srcId="{5F11A6E2-6FD1-4596-8D63-A79522E39528}" destId="{0F2202D3-C7E8-4FA4-AB9E-0CCA4403E668}" srcOrd="1" destOrd="0" presId="urn:microsoft.com/office/officeart/2005/8/layout/hierarchy2"/>
    <dgm:cxn modelId="{A1EC15AD-35DA-40A6-8E49-551C2CF6B9CD}" type="presOf" srcId="{BDF4EC06-70EE-466F-B4C7-BA837949946E}" destId="{A85D3DA3-D14D-4784-B45A-B46D50515D80}" srcOrd="1" destOrd="0" presId="urn:microsoft.com/office/officeart/2005/8/layout/hierarchy2"/>
    <dgm:cxn modelId="{5C7D5199-4B4F-4A1A-8D09-3801C2286703}" type="presOf" srcId="{F8971A4F-5326-4C92-9033-64939221B593}" destId="{F8AE7252-A9BA-4CE8-950D-2EF5BAFAE750}" srcOrd="0" destOrd="0" presId="urn:microsoft.com/office/officeart/2005/8/layout/hierarchy2"/>
    <dgm:cxn modelId="{E999B4DB-23F3-438E-B045-303C639699BE}" type="presOf" srcId="{BFCF8279-B044-4D7D-9731-1AFD08CB831F}" destId="{5FC3C60A-6E9B-4AB2-B7CE-F5FC60D8659E}" srcOrd="1" destOrd="0" presId="urn:microsoft.com/office/officeart/2005/8/layout/hierarchy2"/>
    <dgm:cxn modelId="{5D182385-9176-44B9-923E-DE0AA927EE5B}" srcId="{00229D74-0B96-4508-AC11-7AF7A68CF39A}" destId="{F9FBBC6D-E81C-4517-8670-241A986C82C2}" srcOrd="2" destOrd="0" parTransId="{C370D282-AE59-4305-B243-A7031298F440}" sibTransId="{95727757-A770-47DF-ADEA-2CE1B27AE8E4}"/>
    <dgm:cxn modelId="{59BAB3B3-F2BC-4721-B289-425357291869}" srcId="{95A9E60C-0519-445A-BACE-7DEB3E9CC7F4}" destId="{91582162-AEE9-490C-8E4B-9BF24B27460B}" srcOrd="1" destOrd="0" parTransId="{528C312C-19D0-4AC4-A009-DC8FEF278F13}" sibTransId="{235477CB-3C9F-4E28-98CA-19A701EAC124}"/>
    <dgm:cxn modelId="{7B9B8986-113B-48DD-A7CF-09F825B79234}" type="presOf" srcId="{C34C4638-195C-4224-AFA3-8A1477DA63F1}" destId="{99D85AED-6C22-495D-8A23-045705226502}" srcOrd="0" destOrd="0" presId="urn:microsoft.com/office/officeart/2005/8/layout/hierarchy2"/>
    <dgm:cxn modelId="{6C33E26F-134A-4DD2-BBDD-A54FA353B2C5}" type="presOf" srcId="{83272400-5B14-41A8-8A1E-0B002EEF8D88}" destId="{4085C3E0-FE38-4320-B53A-E6BDE068FD87}" srcOrd="0" destOrd="0" presId="urn:microsoft.com/office/officeart/2005/8/layout/hierarchy2"/>
    <dgm:cxn modelId="{FC87E9F4-1795-4870-94CD-B6FE1E7E73EE}" type="presOf" srcId="{98E9762B-FFF8-44FE-A5DA-14E43694522C}" destId="{0A974841-25E1-45E1-8E3D-FA06EC91754A}" srcOrd="0" destOrd="0" presId="urn:microsoft.com/office/officeart/2005/8/layout/hierarchy2"/>
    <dgm:cxn modelId="{A106FF65-5464-4509-B9C5-47B491B214C8}" type="presParOf" srcId="{254FBCDA-CF15-4BED-965B-8A6A0477CB2B}" destId="{CF2B1531-2B2F-4B47-BBE6-2A458EF65FF4}" srcOrd="0" destOrd="0" presId="urn:microsoft.com/office/officeart/2005/8/layout/hierarchy2"/>
    <dgm:cxn modelId="{9AD067E8-4297-4699-9F08-987AD714ECC5}" type="presParOf" srcId="{CF2B1531-2B2F-4B47-BBE6-2A458EF65FF4}" destId="{2EE536E0-E3D2-4A98-83D2-1BCAB06E331A}" srcOrd="0" destOrd="0" presId="urn:microsoft.com/office/officeart/2005/8/layout/hierarchy2"/>
    <dgm:cxn modelId="{88D9A9BD-FA2D-4AFA-92AC-50230AF883A2}" type="presParOf" srcId="{CF2B1531-2B2F-4B47-BBE6-2A458EF65FF4}" destId="{D636C042-32DC-4E50-8F3B-B9EFFB2F323F}" srcOrd="1" destOrd="0" presId="urn:microsoft.com/office/officeart/2005/8/layout/hierarchy2"/>
    <dgm:cxn modelId="{32F33EF6-BE12-48FD-9527-A06224F4B2B6}" type="presParOf" srcId="{D636C042-32DC-4E50-8F3B-B9EFFB2F323F}" destId="{0A974841-25E1-45E1-8E3D-FA06EC91754A}" srcOrd="0" destOrd="0" presId="urn:microsoft.com/office/officeart/2005/8/layout/hierarchy2"/>
    <dgm:cxn modelId="{703FE5D1-5C25-4EBB-B218-E286C1D72B3D}" type="presParOf" srcId="{0A974841-25E1-45E1-8E3D-FA06EC91754A}" destId="{E536A0E4-D703-4DB1-AE5F-993BB8E94F44}" srcOrd="0" destOrd="0" presId="urn:microsoft.com/office/officeart/2005/8/layout/hierarchy2"/>
    <dgm:cxn modelId="{A952AB96-E82F-46A3-908B-FDFA5618209E}" type="presParOf" srcId="{D636C042-32DC-4E50-8F3B-B9EFFB2F323F}" destId="{CD6B52E4-78D5-42C7-A720-E1D849F37C62}" srcOrd="1" destOrd="0" presId="urn:microsoft.com/office/officeart/2005/8/layout/hierarchy2"/>
    <dgm:cxn modelId="{AA7762AC-675A-46CB-9A5D-A3751965BB0C}" type="presParOf" srcId="{CD6B52E4-78D5-42C7-A720-E1D849F37C62}" destId="{AD2834D1-AC85-47F9-86F8-F43A2B9372FC}" srcOrd="0" destOrd="0" presId="urn:microsoft.com/office/officeart/2005/8/layout/hierarchy2"/>
    <dgm:cxn modelId="{E8E2BE67-9C07-4FE4-A51B-084F8B80DF60}" type="presParOf" srcId="{CD6B52E4-78D5-42C7-A720-E1D849F37C62}" destId="{B88C27C6-4EAF-4C53-81F7-B6D935023171}" srcOrd="1" destOrd="0" presId="urn:microsoft.com/office/officeart/2005/8/layout/hierarchy2"/>
    <dgm:cxn modelId="{C81E0B63-BE6E-4BF3-A4AD-1DBCBB61D5CC}" type="presParOf" srcId="{B88C27C6-4EAF-4C53-81F7-B6D935023171}" destId="{F8AE7252-A9BA-4CE8-950D-2EF5BAFAE750}" srcOrd="0" destOrd="0" presId="urn:microsoft.com/office/officeart/2005/8/layout/hierarchy2"/>
    <dgm:cxn modelId="{16FB51E3-A8DE-4F9C-B8B8-14DB516870E7}" type="presParOf" srcId="{F8AE7252-A9BA-4CE8-950D-2EF5BAFAE750}" destId="{73004D80-805D-47E7-B96E-EC7208640CB5}" srcOrd="0" destOrd="0" presId="urn:microsoft.com/office/officeart/2005/8/layout/hierarchy2"/>
    <dgm:cxn modelId="{90BDCF17-0D5E-4859-8F58-04C4967AE20A}" type="presParOf" srcId="{B88C27C6-4EAF-4C53-81F7-B6D935023171}" destId="{E3F69DDE-CFF4-4577-A8E0-FA097064FD61}" srcOrd="1" destOrd="0" presId="urn:microsoft.com/office/officeart/2005/8/layout/hierarchy2"/>
    <dgm:cxn modelId="{7AA7E13C-80FF-446D-A34D-FE947CF507B0}" type="presParOf" srcId="{E3F69DDE-CFF4-4577-A8E0-FA097064FD61}" destId="{DCE1565D-727F-42DC-9535-CBC81169B9A2}" srcOrd="0" destOrd="0" presId="urn:microsoft.com/office/officeart/2005/8/layout/hierarchy2"/>
    <dgm:cxn modelId="{A0ED9C68-8350-42A3-9D73-EF79BF58C7BD}" type="presParOf" srcId="{E3F69DDE-CFF4-4577-A8E0-FA097064FD61}" destId="{9CB71E93-5B8F-46A5-90FF-6FF1E105BA5D}" srcOrd="1" destOrd="0" presId="urn:microsoft.com/office/officeart/2005/8/layout/hierarchy2"/>
    <dgm:cxn modelId="{9EF287E1-FC6F-48BC-8361-C49D7789EA7F}" type="presParOf" srcId="{B88C27C6-4EAF-4C53-81F7-B6D935023171}" destId="{5E0BA186-D21F-40C8-AF22-2E91386FBCCD}" srcOrd="2" destOrd="0" presId="urn:microsoft.com/office/officeart/2005/8/layout/hierarchy2"/>
    <dgm:cxn modelId="{2D603921-A445-4A68-890C-888EB09B60F1}" type="presParOf" srcId="{5E0BA186-D21F-40C8-AF22-2E91386FBCCD}" destId="{92DF7AC9-7E9E-49A0-BD2C-C216FA8B101B}" srcOrd="0" destOrd="0" presId="urn:microsoft.com/office/officeart/2005/8/layout/hierarchy2"/>
    <dgm:cxn modelId="{5BC8D8D8-DE78-4AF9-83C8-DE7E2116EFCB}" type="presParOf" srcId="{B88C27C6-4EAF-4C53-81F7-B6D935023171}" destId="{14665383-5D4F-49AF-A24E-D9B21A2B3ABC}" srcOrd="3" destOrd="0" presId="urn:microsoft.com/office/officeart/2005/8/layout/hierarchy2"/>
    <dgm:cxn modelId="{CD991622-B8ED-4942-9AFA-68E950AE492E}" type="presParOf" srcId="{14665383-5D4F-49AF-A24E-D9B21A2B3ABC}" destId="{798B842B-8A64-42B4-A72C-659D80CE9471}" srcOrd="0" destOrd="0" presId="urn:microsoft.com/office/officeart/2005/8/layout/hierarchy2"/>
    <dgm:cxn modelId="{FDEE5600-517B-427C-8074-B8B8346C1735}" type="presParOf" srcId="{14665383-5D4F-49AF-A24E-D9B21A2B3ABC}" destId="{7EFE5046-D179-4105-A9E3-E1E8321742B4}" srcOrd="1" destOrd="0" presId="urn:microsoft.com/office/officeart/2005/8/layout/hierarchy2"/>
    <dgm:cxn modelId="{C6411B8A-34A6-42E5-BCF2-50279A0D4515}" type="presParOf" srcId="{B88C27C6-4EAF-4C53-81F7-B6D935023171}" destId="{61FF2824-ED07-43F5-90C7-B24391E94D00}" srcOrd="4" destOrd="0" presId="urn:microsoft.com/office/officeart/2005/8/layout/hierarchy2"/>
    <dgm:cxn modelId="{6BC36D93-0767-4AB0-80A4-811DAC4E58FC}" type="presParOf" srcId="{61FF2824-ED07-43F5-90C7-B24391E94D00}" destId="{0F2202D3-C7E8-4FA4-AB9E-0CCA4403E668}" srcOrd="0" destOrd="0" presId="urn:microsoft.com/office/officeart/2005/8/layout/hierarchy2"/>
    <dgm:cxn modelId="{14C448F3-AC0F-4C37-9446-590BC8371DDF}" type="presParOf" srcId="{B88C27C6-4EAF-4C53-81F7-B6D935023171}" destId="{A8BEB16B-7AD1-4EDC-B161-0D1B66DF5C65}" srcOrd="5" destOrd="0" presId="urn:microsoft.com/office/officeart/2005/8/layout/hierarchy2"/>
    <dgm:cxn modelId="{8BB40FF9-F574-464E-A1B4-DE74A569D3A5}" type="presParOf" srcId="{A8BEB16B-7AD1-4EDC-B161-0D1B66DF5C65}" destId="{99D85AED-6C22-495D-8A23-045705226502}" srcOrd="0" destOrd="0" presId="urn:microsoft.com/office/officeart/2005/8/layout/hierarchy2"/>
    <dgm:cxn modelId="{931FB7B0-4E60-4B93-99B1-84796964622D}" type="presParOf" srcId="{A8BEB16B-7AD1-4EDC-B161-0D1B66DF5C65}" destId="{3CE3C69C-86B8-489D-9725-3B990B97F252}" srcOrd="1" destOrd="0" presId="urn:microsoft.com/office/officeart/2005/8/layout/hierarchy2"/>
    <dgm:cxn modelId="{6E6C4C6E-0374-4278-A85E-95743F0298D1}" type="presParOf" srcId="{D636C042-32DC-4E50-8F3B-B9EFFB2F323F}" destId="{3F48B920-9EC7-4182-8B05-07BF246F24C9}" srcOrd="2" destOrd="0" presId="urn:microsoft.com/office/officeart/2005/8/layout/hierarchy2"/>
    <dgm:cxn modelId="{DBE7B7E1-E94F-4B02-ABE5-3C3D2962C33C}" type="presParOf" srcId="{3F48B920-9EC7-4182-8B05-07BF246F24C9}" destId="{A85D3DA3-D14D-4784-B45A-B46D50515D80}" srcOrd="0" destOrd="0" presId="urn:microsoft.com/office/officeart/2005/8/layout/hierarchy2"/>
    <dgm:cxn modelId="{D7945BE6-1992-4466-B1F9-2302835F99B2}" type="presParOf" srcId="{D636C042-32DC-4E50-8F3B-B9EFFB2F323F}" destId="{7BA35194-65F9-4001-911E-0210622F8448}" srcOrd="3" destOrd="0" presId="urn:microsoft.com/office/officeart/2005/8/layout/hierarchy2"/>
    <dgm:cxn modelId="{DD7B3DFF-D342-40E0-B297-08718AD9E92F}" type="presParOf" srcId="{7BA35194-65F9-4001-911E-0210622F8448}" destId="{4085C3E0-FE38-4320-B53A-E6BDE068FD87}" srcOrd="0" destOrd="0" presId="urn:microsoft.com/office/officeart/2005/8/layout/hierarchy2"/>
    <dgm:cxn modelId="{EF455201-1095-4EF9-946E-9384DD02D3AC}" type="presParOf" srcId="{7BA35194-65F9-4001-911E-0210622F8448}" destId="{BC76F1CA-7430-459C-908B-501495BF5CFB}" srcOrd="1" destOrd="0" presId="urn:microsoft.com/office/officeart/2005/8/layout/hierarchy2"/>
    <dgm:cxn modelId="{171754EC-AEE5-4BBC-9E26-38F2E401D88F}" type="presParOf" srcId="{D636C042-32DC-4E50-8F3B-B9EFFB2F323F}" destId="{611D8780-16FB-41F1-9693-633745B3C3A7}" srcOrd="4" destOrd="0" presId="urn:microsoft.com/office/officeart/2005/8/layout/hierarchy2"/>
    <dgm:cxn modelId="{FB3D3FBC-4D54-491B-9F12-2A90CA62B270}" type="presParOf" srcId="{611D8780-16FB-41F1-9693-633745B3C3A7}" destId="{AF003FD4-0172-490C-8596-17DD57EFCEAF}" srcOrd="0" destOrd="0" presId="urn:microsoft.com/office/officeart/2005/8/layout/hierarchy2"/>
    <dgm:cxn modelId="{D231278B-F482-469F-AAC7-05D5DCD322DA}" type="presParOf" srcId="{D636C042-32DC-4E50-8F3B-B9EFFB2F323F}" destId="{5AC29DFD-DB21-4982-B3D4-8B1983D94E63}" srcOrd="5" destOrd="0" presId="urn:microsoft.com/office/officeart/2005/8/layout/hierarchy2"/>
    <dgm:cxn modelId="{E54E32C3-7640-49B7-AA61-EC2B984CCA66}" type="presParOf" srcId="{5AC29DFD-DB21-4982-B3D4-8B1983D94E63}" destId="{52AF7C35-246D-47FD-9DC1-CDC04F46E18B}" srcOrd="0" destOrd="0" presId="urn:microsoft.com/office/officeart/2005/8/layout/hierarchy2"/>
    <dgm:cxn modelId="{75A529AD-74B8-40DE-9855-EE6ECD0C2C54}" type="presParOf" srcId="{5AC29DFD-DB21-4982-B3D4-8B1983D94E63}" destId="{F5EC685A-B536-4B28-A5C4-489A1431ED00}" srcOrd="1" destOrd="0" presId="urn:microsoft.com/office/officeart/2005/8/layout/hierarchy2"/>
    <dgm:cxn modelId="{BDBD5A05-9F52-4508-A8C8-F2AEB7590545}" type="presParOf" srcId="{D636C042-32DC-4E50-8F3B-B9EFFB2F323F}" destId="{C63C8DDD-09D6-4F65-AFE1-C7C18CD85ACE}" srcOrd="6" destOrd="0" presId="urn:microsoft.com/office/officeart/2005/8/layout/hierarchy2"/>
    <dgm:cxn modelId="{B124D394-5E59-44B2-8718-3F92D3230A8E}" type="presParOf" srcId="{C63C8DDD-09D6-4F65-AFE1-C7C18CD85ACE}" destId="{5FC3C60A-6E9B-4AB2-B7CE-F5FC60D8659E}" srcOrd="0" destOrd="0" presId="urn:microsoft.com/office/officeart/2005/8/layout/hierarchy2"/>
    <dgm:cxn modelId="{281D57DB-EC97-4A86-AF11-1FEF21B45F4D}" type="presParOf" srcId="{D636C042-32DC-4E50-8F3B-B9EFFB2F323F}" destId="{04042F8A-381F-4BAF-9390-680663712DB6}" srcOrd="7" destOrd="0" presId="urn:microsoft.com/office/officeart/2005/8/layout/hierarchy2"/>
    <dgm:cxn modelId="{8EA5993C-D3BF-4362-B7A5-3780418E6234}" type="presParOf" srcId="{04042F8A-381F-4BAF-9390-680663712DB6}" destId="{6139217D-B5B2-481A-8649-C2857512EA8E}" srcOrd="0" destOrd="0" presId="urn:microsoft.com/office/officeart/2005/8/layout/hierarchy2"/>
    <dgm:cxn modelId="{7C59FEA9-B4C6-48E6-895F-9FC9C398B962}" type="presParOf" srcId="{04042F8A-381F-4BAF-9390-680663712DB6}" destId="{B6B09F7A-21FD-4041-A21F-041C6CCC4C48}" srcOrd="1" destOrd="0" presId="urn:microsoft.com/office/officeart/2005/8/layout/hierarchy2"/>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95DED33-3EF8-47F4-AA70-60943CBF1C8C}">
      <dsp:nvSpPr>
        <dsp:cNvPr id="0" name=""/>
        <dsp:cNvSpPr/>
      </dsp:nvSpPr>
      <dsp:spPr>
        <a:xfrm>
          <a:off x="943912" y="1091191"/>
          <a:ext cx="946993" cy="473496"/>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hu-HU" sz="1200" kern="1200">
              <a:latin typeface="Times New Roman" pitchFamily="18" charset="0"/>
              <a:cs typeface="Times New Roman" pitchFamily="18" charset="0"/>
            </a:rPr>
            <a:t>Energiaadó-rendszer</a:t>
          </a:r>
        </a:p>
      </dsp:txBody>
      <dsp:txXfrm>
        <a:off x="957780" y="1105059"/>
        <a:ext cx="919257" cy="445760"/>
      </dsp:txXfrm>
    </dsp:sp>
    <dsp:sp modelId="{30F43FF0-99D7-44B0-A71E-D8A954CACA73}">
      <dsp:nvSpPr>
        <dsp:cNvPr id="0" name=""/>
        <dsp:cNvSpPr/>
      </dsp:nvSpPr>
      <dsp:spPr>
        <a:xfrm rot="17692822">
          <a:off x="1630132" y="906233"/>
          <a:ext cx="900344" cy="26630"/>
        </a:xfrm>
        <a:custGeom>
          <a:avLst/>
          <a:gdLst/>
          <a:ahLst/>
          <a:cxnLst/>
          <a:rect l="0" t="0" r="0" b="0"/>
          <a:pathLst>
            <a:path>
              <a:moveTo>
                <a:pt x="0" y="13315"/>
              </a:moveTo>
              <a:lnTo>
                <a:pt x="900344" y="13315"/>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hu-HU" sz="1200" kern="1200">
            <a:latin typeface="Times New Roman" pitchFamily="18" charset="0"/>
            <a:cs typeface="Times New Roman" pitchFamily="18" charset="0"/>
          </a:endParaRPr>
        </a:p>
      </dsp:txBody>
      <dsp:txXfrm>
        <a:off x="2057796" y="897039"/>
        <a:ext cx="45017" cy="45017"/>
      </dsp:txXfrm>
    </dsp:sp>
    <dsp:sp modelId="{81859642-54AE-4C79-A059-B7A5B0AA8141}">
      <dsp:nvSpPr>
        <dsp:cNvPr id="0" name=""/>
        <dsp:cNvSpPr/>
      </dsp:nvSpPr>
      <dsp:spPr>
        <a:xfrm>
          <a:off x="2269703" y="274409"/>
          <a:ext cx="946993" cy="473496"/>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hu-HU" sz="1200" kern="1200">
              <a:latin typeface="Times New Roman" pitchFamily="18" charset="0"/>
              <a:cs typeface="Times New Roman" pitchFamily="18" charset="0"/>
            </a:rPr>
            <a:t>NOx</a:t>
          </a:r>
        </a:p>
      </dsp:txBody>
      <dsp:txXfrm>
        <a:off x="2283571" y="288277"/>
        <a:ext cx="919257" cy="445760"/>
      </dsp:txXfrm>
    </dsp:sp>
    <dsp:sp modelId="{2D29667F-0DEE-4AFC-ADB2-6B992C79DDCF}">
      <dsp:nvSpPr>
        <dsp:cNvPr id="0" name=""/>
        <dsp:cNvSpPr/>
      </dsp:nvSpPr>
      <dsp:spPr>
        <a:xfrm rot="19457599">
          <a:off x="1847059" y="1178493"/>
          <a:ext cx="466490" cy="26630"/>
        </a:xfrm>
        <a:custGeom>
          <a:avLst/>
          <a:gdLst/>
          <a:ahLst/>
          <a:cxnLst/>
          <a:rect l="0" t="0" r="0" b="0"/>
          <a:pathLst>
            <a:path>
              <a:moveTo>
                <a:pt x="0" y="13315"/>
              </a:moveTo>
              <a:lnTo>
                <a:pt x="466490" y="13315"/>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hu-HU" sz="1200" kern="1200">
            <a:latin typeface="Times New Roman" pitchFamily="18" charset="0"/>
            <a:cs typeface="Times New Roman" pitchFamily="18" charset="0"/>
          </a:endParaRPr>
        </a:p>
      </dsp:txBody>
      <dsp:txXfrm>
        <a:off x="2068642" y="1180146"/>
        <a:ext cx="23324" cy="23324"/>
      </dsp:txXfrm>
    </dsp:sp>
    <dsp:sp modelId="{58C124EA-EA55-4F35-899D-93C368BE49AB}">
      <dsp:nvSpPr>
        <dsp:cNvPr id="0" name=""/>
        <dsp:cNvSpPr/>
      </dsp:nvSpPr>
      <dsp:spPr>
        <a:xfrm>
          <a:off x="2269703" y="818930"/>
          <a:ext cx="946993" cy="473496"/>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hu-HU" sz="1200" kern="1200">
              <a:latin typeface="Times New Roman" pitchFamily="18" charset="0"/>
              <a:cs typeface="Times New Roman" pitchFamily="18" charset="0"/>
            </a:rPr>
            <a:t>SO</a:t>
          </a:r>
          <a:r>
            <a:rPr lang="hu-HU" sz="1200" kern="1200" baseline="-25000">
              <a:latin typeface="Times New Roman" pitchFamily="18" charset="0"/>
              <a:cs typeface="Times New Roman" pitchFamily="18" charset="0"/>
            </a:rPr>
            <a:t>2</a:t>
          </a:r>
          <a:endParaRPr lang="hu-HU" sz="1200" kern="1200">
            <a:latin typeface="Times New Roman" pitchFamily="18" charset="0"/>
            <a:cs typeface="Times New Roman" pitchFamily="18" charset="0"/>
          </a:endParaRPr>
        </a:p>
      </dsp:txBody>
      <dsp:txXfrm>
        <a:off x="2283571" y="832798"/>
        <a:ext cx="919257" cy="445760"/>
      </dsp:txXfrm>
    </dsp:sp>
    <dsp:sp modelId="{A3149A10-FC0C-49F3-863E-EC8379CABFF6}">
      <dsp:nvSpPr>
        <dsp:cNvPr id="0" name=""/>
        <dsp:cNvSpPr/>
      </dsp:nvSpPr>
      <dsp:spPr>
        <a:xfrm rot="2142401">
          <a:off x="1847059" y="1450754"/>
          <a:ext cx="466490" cy="26630"/>
        </a:xfrm>
        <a:custGeom>
          <a:avLst/>
          <a:gdLst/>
          <a:ahLst/>
          <a:cxnLst/>
          <a:rect l="0" t="0" r="0" b="0"/>
          <a:pathLst>
            <a:path>
              <a:moveTo>
                <a:pt x="0" y="13315"/>
              </a:moveTo>
              <a:lnTo>
                <a:pt x="466490" y="13315"/>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hu-HU" sz="1200" kern="1200">
            <a:latin typeface="Times New Roman" pitchFamily="18" charset="0"/>
            <a:cs typeface="Times New Roman" pitchFamily="18" charset="0"/>
          </a:endParaRPr>
        </a:p>
      </dsp:txBody>
      <dsp:txXfrm>
        <a:off x="2068642" y="1452407"/>
        <a:ext cx="23324" cy="23324"/>
      </dsp:txXfrm>
    </dsp:sp>
    <dsp:sp modelId="{AABFB642-FD73-4365-A7EB-10B6DE4D97F5}">
      <dsp:nvSpPr>
        <dsp:cNvPr id="0" name=""/>
        <dsp:cNvSpPr/>
      </dsp:nvSpPr>
      <dsp:spPr>
        <a:xfrm>
          <a:off x="2269703" y="1363451"/>
          <a:ext cx="946993" cy="473496"/>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hu-HU" sz="1200" kern="1200">
              <a:latin typeface="Times New Roman" pitchFamily="18" charset="0"/>
              <a:cs typeface="Times New Roman" pitchFamily="18" charset="0"/>
            </a:rPr>
            <a:t>Energiaadó</a:t>
          </a:r>
        </a:p>
      </dsp:txBody>
      <dsp:txXfrm>
        <a:off x="2283571" y="1377319"/>
        <a:ext cx="919257" cy="445760"/>
      </dsp:txXfrm>
    </dsp:sp>
    <dsp:sp modelId="{59861EDD-80EE-40C5-AACE-99E5D421EF7E}">
      <dsp:nvSpPr>
        <dsp:cNvPr id="0" name=""/>
        <dsp:cNvSpPr/>
      </dsp:nvSpPr>
      <dsp:spPr>
        <a:xfrm rot="17132988">
          <a:off x="2699583" y="906233"/>
          <a:ext cx="1413022" cy="26630"/>
        </a:xfrm>
        <a:custGeom>
          <a:avLst/>
          <a:gdLst/>
          <a:ahLst/>
          <a:cxnLst/>
          <a:rect l="0" t="0" r="0" b="0"/>
          <a:pathLst>
            <a:path>
              <a:moveTo>
                <a:pt x="0" y="13315"/>
              </a:moveTo>
              <a:lnTo>
                <a:pt x="1413022" y="13315"/>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hu-HU" sz="1200" kern="1200">
            <a:latin typeface="Times New Roman" pitchFamily="18" charset="0"/>
            <a:cs typeface="Times New Roman" pitchFamily="18" charset="0"/>
          </a:endParaRPr>
        </a:p>
      </dsp:txBody>
      <dsp:txXfrm>
        <a:off x="3370769" y="884222"/>
        <a:ext cx="70651" cy="70651"/>
      </dsp:txXfrm>
    </dsp:sp>
    <dsp:sp modelId="{B2060E1F-5CE2-4A1D-BC41-13CA6A9FB076}">
      <dsp:nvSpPr>
        <dsp:cNvPr id="0" name=""/>
        <dsp:cNvSpPr/>
      </dsp:nvSpPr>
      <dsp:spPr>
        <a:xfrm>
          <a:off x="3595494" y="2148"/>
          <a:ext cx="946993" cy="473496"/>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hu-HU" sz="1200" kern="1200">
              <a:latin typeface="Times New Roman" pitchFamily="18" charset="0"/>
              <a:cs typeface="Times New Roman" pitchFamily="18" charset="0"/>
            </a:rPr>
            <a:t>Villamos-energia</a:t>
          </a:r>
        </a:p>
      </dsp:txBody>
      <dsp:txXfrm>
        <a:off x="3609362" y="16016"/>
        <a:ext cx="919257" cy="445760"/>
      </dsp:txXfrm>
    </dsp:sp>
    <dsp:sp modelId="{AED906BB-BB6D-458C-B342-7058B19CEE7F}">
      <dsp:nvSpPr>
        <dsp:cNvPr id="0" name=""/>
        <dsp:cNvSpPr/>
      </dsp:nvSpPr>
      <dsp:spPr>
        <a:xfrm rot="17692822">
          <a:off x="2955923" y="1178493"/>
          <a:ext cx="900344" cy="26630"/>
        </a:xfrm>
        <a:custGeom>
          <a:avLst/>
          <a:gdLst/>
          <a:ahLst/>
          <a:cxnLst/>
          <a:rect l="0" t="0" r="0" b="0"/>
          <a:pathLst>
            <a:path>
              <a:moveTo>
                <a:pt x="0" y="13315"/>
              </a:moveTo>
              <a:lnTo>
                <a:pt x="900344" y="13315"/>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hu-HU" sz="1200" kern="1200">
            <a:latin typeface="Times New Roman" pitchFamily="18" charset="0"/>
            <a:cs typeface="Times New Roman" pitchFamily="18" charset="0"/>
          </a:endParaRPr>
        </a:p>
      </dsp:txBody>
      <dsp:txXfrm>
        <a:off x="3383586" y="1169300"/>
        <a:ext cx="45017" cy="45017"/>
      </dsp:txXfrm>
    </dsp:sp>
    <dsp:sp modelId="{9DF2FA24-2181-4807-84AB-4E4FD54038EE}">
      <dsp:nvSpPr>
        <dsp:cNvPr id="0" name=""/>
        <dsp:cNvSpPr/>
      </dsp:nvSpPr>
      <dsp:spPr>
        <a:xfrm>
          <a:off x="3595494" y="546669"/>
          <a:ext cx="946993" cy="473496"/>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hu-HU" sz="1200" kern="1200">
              <a:latin typeface="Times New Roman" pitchFamily="18" charset="0"/>
              <a:cs typeface="Times New Roman" pitchFamily="18" charset="0"/>
            </a:rPr>
            <a:t>Földgáz</a:t>
          </a:r>
        </a:p>
      </dsp:txBody>
      <dsp:txXfrm>
        <a:off x="3609362" y="560537"/>
        <a:ext cx="919257" cy="445760"/>
      </dsp:txXfrm>
    </dsp:sp>
    <dsp:sp modelId="{45FD4777-8028-477E-A8D3-D8601ED7FE14}">
      <dsp:nvSpPr>
        <dsp:cNvPr id="0" name=""/>
        <dsp:cNvSpPr/>
      </dsp:nvSpPr>
      <dsp:spPr>
        <a:xfrm rot="19457599">
          <a:off x="3172850" y="1450754"/>
          <a:ext cx="466490" cy="26630"/>
        </a:xfrm>
        <a:custGeom>
          <a:avLst/>
          <a:gdLst/>
          <a:ahLst/>
          <a:cxnLst/>
          <a:rect l="0" t="0" r="0" b="0"/>
          <a:pathLst>
            <a:path>
              <a:moveTo>
                <a:pt x="0" y="13315"/>
              </a:moveTo>
              <a:lnTo>
                <a:pt x="466490" y="13315"/>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hu-HU" sz="1200" kern="1200">
            <a:latin typeface="Times New Roman" pitchFamily="18" charset="0"/>
            <a:cs typeface="Times New Roman" pitchFamily="18" charset="0"/>
          </a:endParaRPr>
        </a:p>
      </dsp:txBody>
      <dsp:txXfrm>
        <a:off x="3394433" y="1452407"/>
        <a:ext cx="23324" cy="23324"/>
      </dsp:txXfrm>
    </dsp:sp>
    <dsp:sp modelId="{BDA81F34-1872-48FF-BA50-6B7031C8FE64}">
      <dsp:nvSpPr>
        <dsp:cNvPr id="0" name=""/>
        <dsp:cNvSpPr/>
      </dsp:nvSpPr>
      <dsp:spPr>
        <a:xfrm>
          <a:off x="3595494" y="1091191"/>
          <a:ext cx="946993" cy="473496"/>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hu-HU" sz="1200" kern="1200">
              <a:latin typeface="Times New Roman" pitchFamily="18" charset="0"/>
              <a:cs typeface="Times New Roman" pitchFamily="18" charset="0"/>
            </a:rPr>
            <a:t>Szén</a:t>
          </a:r>
        </a:p>
      </dsp:txBody>
      <dsp:txXfrm>
        <a:off x="3609362" y="1105059"/>
        <a:ext cx="919257" cy="445760"/>
      </dsp:txXfrm>
    </dsp:sp>
    <dsp:sp modelId="{6075CC77-01E1-4D20-A27D-CD98334BF670}">
      <dsp:nvSpPr>
        <dsp:cNvPr id="0" name=""/>
        <dsp:cNvSpPr/>
      </dsp:nvSpPr>
      <dsp:spPr>
        <a:xfrm rot="2142401">
          <a:off x="3172850" y="1723014"/>
          <a:ext cx="466490" cy="26630"/>
        </a:xfrm>
        <a:custGeom>
          <a:avLst/>
          <a:gdLst/>
          <a:ahLst/>
          <a:cxnLst/>
          <a:rect l="0" t="0" r="0" b="0"/>
          <a:pathLst>
            <a:path>
              <a:moveTo>
                <a:pt x="0" y="13315"/>
              </a:moveTo>
              <a:lnTo>
                <a:pt x="466490" y="13315"/>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hu-HU" sz="1200" kern="1200">
            <a:latin typeface="Times New Roman" pitchFamily="18" charset="0"/>
            <a:cs typeface="Times New Roman" pitchFamily="18" charset="0"/>
          </a:endParaRPr>
        </a:p>
      </dsp:txBody>
      <dsp:txXfrm>
        <a:off x="3394433" y="1724668"/>
        <a:ext cx="23324" cy="23324"/>
      </dsp:txXfrm>
    </dsp:sp>
    <dsp:sp modelId="{EF48A7EE-D470-4F5C-9737-2649ED5621EF}">
      <dsp:nvSpPr>
        <dsp:cNvPr id="0" name=""/>
        <dsp:cNvSpPr/>
      </dsp:nvSpPr>
      <dsp:spPr>
        <a:xfrm>
          <a:off x="3595494" y="1635712"/>
          <a:ext cx="946993" cy="473496"/>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hu-HU" sz="1200" kern="1200">
              <a:latin typeface="Times New Roman" pitchFamily="18" charset="0"/>
              <a:cs typeface="Times New Roman" pitchFamily="18" charset="0"/>
            </a:rPr>
            <a:t>Pb-gáz</a:t>
          </a:r>
        </a:p>
      </dsp:txBody>
      <dsp:txXfrm>
        <a:off x="3609362" y="1649580"/>
        <a:ext cx="919257" cy="445760"/>
      </dsp:txXfrm>
    </dsp:sp>
    <dsp:sp modelId="{382D5B77-6F27-4E7F-B4D9-095D786F4209}">
      <dsp:nvSpPr>
        <dsp:cNvPr id="0" name=""/>
        <dsp:cNvSpPr/>
      </dsp:nvSpPr>
      <dsp:spPr>
        <a:xfrm rot="3907178">
          <a:off x="2955923" y="1995275"/>
          <a:ext cx="900344" cy="26630"/>
        </a:xfrm>
        <a:custGeom>
          <a:avLst/>
          <a:gdLst/>
          <a:ahLst/>
          <a:cxnLst/>
          <a:rect l="0" t="0" r="0" b="0"/>
          <a:pathLst>
            <a:path>
              <a:moveTo>
                <a:pt x="0" y="13315"/>
              </a:moveTo>
              <a:lnTo>
                <a:pt x="900344" y="13315"/>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hu-HU" sz="1200" kern="1200">
            <a:latin typeface="Times New Roman" pitchFamily="18" charset="0"/>
            <a:cs typeface="Times New Roman" pitchFamily="18" charset="0"/>
          </a:endParaRPr>
        </a:p>
      </dsp:txBody>
      <dsp:txXfrm>
        <a:off x="3383586" y="1986082"/>
        <a:ext cx="45017" cy="45017"/>
      </dsp:txXfrm>
    </dsp:sp>
    <dsp:sp modelId="{9672AD0F-BCAA-4160-B192-A6422BE1B881}">
      <dsp:nvSpPr>
        <dsp:cNvPr id="0" name=""/>
        <dsp:cNvSpPr/>
      </dsp:nvSpPr>
      <dsp:spPr>
        <a:xfrm>
          <a:off x="3595494" y="2180233"/>
          <a:ext cx="946993" cy="473496"/>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hu-HU" sz="1200" kern="1200">
              <a:latin typeface="Times New Roman" pitchFamily="18" charset="0"/>
              <a:cs typeface="Times New Roman" pitchFamily="18" charset="0"/>
            </a:rPr>
            <a:t>Könnyű fűtőolajok</a:t>
          </a:r>
        </a:p>
      </dsp:txBody>
      <dsp:txXfrm>
        <a:off x="3609362" y="2194101"/>
        <a:ext cx="919257" cy="445760"/>
      </dsp:txXfrm>
    </dsp:sp>
    <dsp:sp modelId="{FB7DA661-EBFC-4775-AAE6-5E76B26AFA55}">
      <dsp:nvSpPr>
        <dsp:cNvPr id="0" name=""/>
        <dsp:cNvSpPr/>
      </dsp:nvSpPr>
      <dsp:spPr>
        <a:xfrm rot="4467012">
          <a:off x="2699583" y="2267536"/>
          <a:ext cx="1413022" cy="26630"/>
        </a:xfrm>
        <a:custGeom>
          <a:avLst/>
          <a:gdLst/>
          <a:ahLst/>
          <a:cxnLst/>
          <a:rect l="0" t="0" r="0" b="0"/>
          <a:pathLst>
            <a:path>
              <a:moveTo>
                <a:pt x="0" y="13315"/>
              </a:moveTo>
              <a:lnTo>
                <a:pt x="1413022" y="13315"/>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hu-HU" sz="1200" kern="1200">
            <a:latin typeface="Times New Roman" pitchFamily="18" charset="0"/>
            <a:cs typeface="Times New Roman" pitchFamily="18" charset="0"/>
          </a:endParaRPr>
        </a:p>
      </dsp:txBody>
      <dsp:txXfrm>
        <a:off x="3370769" y="2245525"/>
        <a:ext cx="70651" cy="70651"/>
      </dsp:txXfrm>
    </dsp:sp>
    <dsp:sp modelId="{2A4420C8-306B-4A6B-8C23-84AE79509F99}">
      <dsp:nvSpPr>
        <dsp:cNvPr id="0" name=""/>
        <dsp:cNvSpPr/>
      </dsp:nvSpPr>
      <dsp:spPr>
        <a:xfrm>
          <a:off x="3595494" y="2724754"/>
          <a:ext cx="946993" cy="473496"/>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hu-HU" sz="1200" kern="1200">
              <a:latin typeface="Times New Roman" pitchFamily="18" charset="0"/>
              <a:cs typeface="Times New Roman" pitchFamily="18" charset="0"/>
            </a:rPr>
            <a:t>Nehéz fűtőolajok</a:t>
          </a:r>
        </a:p>
      </dsp:txBody>
      <dsp:txXfrm>
        <a:off x="3609362" y="2738622"/>
        <a:ext cx="919257" cy="445760"/>
      </dsp:txXfrm>
    </dsp:sp>
    <dsp:sp modelId="{7298D802-21AC-4033-B64D-B65FB28415F7}">
      <dsp:nvSpPr>
        <dsp:cNvPr id="0" name=""/>
        <dsp:cNvSpPr/>
      </dsp:nvSpPr>
      <dsp:spPr>
        <a:xfrm rot="3907178">
          <a:off x="1630132" y="1723014"/>
          <a:ext cx="900344" cy="26630"/>
        </a:xfrm>
        <a:custGeom>
          <a:avLst/>
          <a:gdLst/>
          <a:ahLst/>
          <a:cxnLst/>
          <a:rect l="0" t="0" r="0" b="0"/>
          <a:pathLst>
            <a:path>
              <a:moveTo>
                <a:pt x="0" y="13315"/>
              </a:moveTo>
              <a:lnTo>
                <a:pt x="900344" y="13315"/>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hu-HU" sz="1200" kern="1200">
            <a:latin typeface="Times New Roman" pitchFamily="18" charset="0"/>
            <a:cs typeface="Times New Roman" pitchFamily="18" charset="0"/>
          </a:endParaRPr>
        </a:p>
      </dsp:txBody>
      <dsp:txXfrm>
        <a:off x="2057796" y="1713821"/>
        <a:ext cx="45017" cy="45017"/>
      </dsp:txXfrm>
    </dsp:sp>
    <dsp:sp modelId="{414447BD-7C49-45A3-9510-CA13190D497F}">
      <dsp:nvSpPr>
        <dsp:cNvPr id="0" name=""/>
        <dsp:cNvSpPr/>
      </dsp:nvSpPr>
      <dsp:spPr>
        <a:xfrm>
          <a:off x="2269703" y="1907972"/>
          <a:ext cx="946993" cy="473496"/>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hu-HU" sz="1200" kern="1200">
              <a:latin typeface="Times New Roman" pitchFamily="18" charset="0"/>
              <a:cs typeface="Times New Roman" pitchFamily="18" charset="0"/>
            </a:rPr>
            <a:t>CO</a:t>
          </a:r>
          <a:r>
            <a:rPr lang="hu-HU" sz="1200" kern="1200" baseline="-25000">
              <a:latin typeface="Times New Roman" pitchFamily="18" charset="0"/>
              <a:cs typeface="Times New Roman" pitchFamily="18" charset="0"/>
            </a:rPr>
            <a:t>2</a:t>
          </a:r>
          <a:endParaRPr lang="hu-HU" sz="1200" kern="1200">
            <a:latin typeface="Times New Roman" pitchFamily="18" charset="0"/>
            <a:cs typeface="Times New Roman" pitchFamily="18" charset="0"/>
          </a:endParaRPr>
        </a:p>
      </dsp:txBody>
      <dsp:txXfrm>
        <a:off x="2283571" y="1921840"/>
        <a:ext cx="919257" cy="44576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2FEF0BD-58BF-410D-B4BF-D3E8DE8A27EF}">
      <dsp:nvSpPr>
        <dsp:cNvPr id="0" name=""/>
        <dsp:cNvSpPr/>
      </dsp:nvSpPr>
      <dsp:spPr>
        <a:xfrm>
          <a:off x="267107" y="1571105"/>
          <a:ext cx="699362" cy="754391"/>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hu-HU" sz="1200" kern="1200">
              <a:latin typeface="Times New Roman" pitchFamily="18" charset="0"/>
              <a:cs typeface="Times New Roman" pitchFamily="18" charset="0"/>
            </a:rPr>
            <a:t>Környezet-védelmi</a:t>
          </a:r>
          <a:r>
            <a:rPr lang="hu-HU" sz="1400" kern="1200">
              <a:latin typeface="Times New Roman" pitchFamily="18" charset="0"/>
              <a:cs typeface="Times New Roman" pitchFamily="18" charset="0"/>
            </a:rPr>
            <a:t> </a:t>
          </a:r>
          <a:r>
            <a:rPr lang="hu-HU" sz="1200" kern="1200">
              <a:latin typeface="Times New Roman" pitchFamily="18" charset="0"/>
              <a:cs typeface="Times New Roman" pitchFamily="18" charset="0"/>
            </a:rPr>
            <a:t>adók</a:t>
          </a:r>
          <a:endParaRPr lang="hu-HU" sz="1400" kern="1200">
            <a:latin typeface="Times New Roman" pitchFamily="18" charset="0"/>
            <a:cs typeface="Times New Roman" pitchFamily="18" charset="0"/>
          </a:endParaRPr>
        </a:p>
      </dsp:txBody>
      <dsp:txXfrm>
        <a:off x="287591" y="1591589"/>
        <a:ext cx="658394" cy="713423"/>
      </dsp:txXfrm>
    </dsp:sp>
    <dsp:sp modelId="{5C1EAA8B-BAF2-47F4-9D00-4EB996C382D0}">
      <dsp:nvSpPr>
        <dsp:cNvPr id="0" name=""/>
        <dsp:cNvSpPr/>
      </dsp:nvSpPr>
      <dsp:spPr>
        <a:xfrm rot="19457599">
          <a:off x="929039" y="1820720"/>
          <a:ext cx="398228" cy="22741"/>
        </a:xfrm>
        <a:custGeom>
          <a:avLst/>
          <a:gdLst/>
          <a:ahLst/>
          <a:cxnLst/>
          <a:rect l="0" t="0" r="0" b="0"/>
          <a:pathLst>
            <a:path>
              <a:moveTo>
                <a:pt x="0" y="11370"/>
              </a:moveTo>
              <a:lnTo>
                <a:pt x="398228" y="1137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hu-HU" sz="500" kern="1200">
            <a:latin typeface="Times New Roman" pitchFamily="18" charset="0"/>
            <a:cs typeface="Times New Roman" pitchFamily="18" charset="0"/>
          </a:endParaRPr>
        </a:p>
      </dsp:txBody>
      <dsp:txXfrm>
        <a:off x="1118197" y="1822135"/>
        <a:ext cx="19911" cy="19911"/>
      </dsp:txXfrm>
    </dsp:sp>
    <dsp:sp modelId="{4B2576F6-E2D0-41A9-B88A-30E692D05AD1}">
      <dsp:nvSpPr>
        <dsp:cNvPr id="0" name=""/>
        <dsp:cNvSpPr/>
      </dsp:nvSpPr>
      <dsp:spPr>
        <a:xfrm>
          <a:off x="1289837" y="1513776"/>
          <a:ext cx="808418" cy="40420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hu-HU" sz="1200" kern="1200">
              <a:latin typeface="Times New Roman" pitchFamily="18" charset="0"/>
              <a:cs typeface="Times New Roman" pitchFamily="18" charset="0"/>
            </a:rPr>
            <a:t>Energiaadó</a:t>
          </a:r>
          <a:endParaRPr lang="hu-HU" sz="800" kern="1200">
            <a:latin typeface="Times New Roman" pitchFamily="18" charset="0"/>
            <a:cs typeface="Times New Roman" pitchFamily="18" charset="0"/>
          </a:endParaRPr>
        </a:p>
      </dsp:txBody>
      <dsp:txXfrm>
        <a:off x="1301676" y="1525615"/>
        <a:ext cx="784740" cy="380531"/>
      </dsp:txXfrm>
    </dsp:sp>
    <dsp:sp modelId="{E00E43E9-01D8-424D-882B-4A506AE707B3}">
      <dsp:nvSpPr>
        <dsp:cNvPr id="0" name=""/>
        <dsp:cNvSpPr/>
      </dsp:nvSpPr>
      <dsp:spPr>
        <a:xfrm rot="18289469">
          <a:off x="1976812" y="1472090"/>
          <a:ext cx="566253" cy="22741"/>
        </a:xfrm>
        <a:custGeom>
          <a:avLst/>
          <a:gdLst/>
          <a:ahLst/>
          <a:cxnLst/>
          <a:rect l="0" t="0" r="0" b="0"/>
          <a:pathLst>
            <a:path>
              <a:moveTo>
                <a:pt x="0" y="11370"/>
              </a:moveTo>
              <a:lnTo>
                <a:pt x="566253" y="1137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hu-HU" sz="500" kern="1200">
            <a:latin typeface="Times New Roman" pitchFamily="18" charset="0"/>
            <a:cs typeface="Times New Roman" pitchFamily="18" charset="0"/>
          </a:endParaRPr>
        </a:p>
      </dsp:txBody>
      <dsp:txXfrm>
        <a:off x="2245783" y="1469304"/>
        <a:ext cx="28312" cy="28312"/>
      </dsp:txXfrm>
    </dsp:sp>
    <dsp:sp modelId="{44B8D1D1-B153-4CE9-B5F8-5648D20E1CC9}">
      <dsp:nvSpPr>
        <dsp:cNvPr id="0" name=""/>
        <dsp:cNvSpPr/>
      </dsp:nvSpPr>
      <dsp:spPr>
        <a:xfrm>
          <a:off x="2421623" y="1048936"/>
          <a:ext cx="808418" cy="40420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hu-HU" sz="1200" kern="1200">
              <a:latin typeface="Times New Roman" pitchFamily="18" charset="0"/>
              <a:cs typeface="Times New Roman" pitchFamily="18" charset="0"/>
            </a:rPr>
            <a:t>Villamos-energiaadó</a:t>
          </a:r>
          <a:endParaRPr lang="hu-HU" sz="800" kern="1200">
            <a:latin typeface="Times New Roman" pitchFamily="18" charset="0"/>
            <a:cs typeface="Times New Roman" pitchFamily="18" charset="0"/>
          </a:endParaRPr>
        </a:p>
      </dsp:txBody>
      <dsp:txXfrm>
        <a:off x="2433462" y="1060775"/>
        <a:ext cx="784740" cy="380531"/>
      </dsp:txXfrm>
    </dsp:sp>
    <dsp:sp modelId="{CBB908CE-CDF1-49EF-A536-9628CCC8865D}">
      <dsp:nvSpPr>
        <dsp:cNvPr id="0" name=""/>
        <dsp:cNvSpPr/>
      </dsp:nvSpPr>
      <dsp:spPr>
        <a:xfrm>
          <a:off x="2098255" y="1704510"/>
          <a:ext cx="323367" cy="22741"/>
        </a:xfrm>
        <a:custGeom>
          <a:avLst/>
          <a:gdLst/>
          <a:ahLst/>
          <a:cxnLst/>
          <a:rect l="0" t="0" r="0" b="0"/>
          <a:pathLst>
            <a:path>
              <a:moveTo>
                <a:pt x="0" y="11370"/>
              </a:moveTo>
              <a:lnTo>
                <a:pt x="323367" y="1137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hu-HU" sz="500" kern="1200">
            <a:latin typeface="Times New Roman" pitchFamily="18" charset="0"/>
            <a:cs typeface="Times New Roman" pitchFamily="18" charset="0"/>
          </a:endParaRPr>
        </a:p>
      </dsp:txBody>
      <dsp:txXfrm>
        <a:off x="2251855" y="1707796"/>
        <a:ext cx="16168" cy="16168"/>
      </dsp:txXfrm>
    </dsp:sp>
    <dsp:sp modelId="{DCF084E2-7889-4B86-87F1-DBD26CF52AAC}">
      <dsp:nvSpPr>
        <dsp:cNvPr id="0" name=""/>
        <dsp:cNvSpPr/>
      </dsp:nvSpPr>
      <dsp:spPr>
        <a:xfrm>
          <a:off x="2421623" y="1513776"/>
          <a:ext cx="808418" cy="40420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hu-HU" sz="1200" kern="1200">
              <a:latin typeface="Times New Roman" pitchFamily="18" charset="0"/>
              <a:cs typeface="Times New Roman" pitchFamily="18" charset="0"/>
            </a:rPr>
            <a:t>Az ásványi olajok adója</a:t>
          </a:r>
        </a:p>
      </dsp:txBody>
      <dsp:txXfrm>
        <a:off x="2433462" y="1525615"/>
        <a:ext cx="784740" cy="380531"/>
      </dsp:txXfrm>
    </dsp:sp>
    <dsp:sp modelId="{F792AB49-41D2-4804-AED3-7291B23E0486}">
      <dsp:nvSpPr>
        <dsp:cNvPr id="0" name=""/>
        <dsp:cNvSpPr/>
      </dsp:nvSpPr>
      <dsp:spPr>
        <a:xfrm rot="17500715">
          <a:off x="2954031" y="1297774"/>
          <a:ext cx="875386" cy="22741"/>
        </a:xfrm>
        <a:custGeom>
          <a:avLst/>
          <a:gdLst/>
          <a:ahLst/>
          <a:cxnLst/>
          <a:rect l="0" t="0" r="0" b="0"/>
          <a:pathLst>
            <a:path>
              <a:moveTo>
                <a:pt x="0" y="11370"/>
              </a:moveTo>
              <a:lnTo>
                <a:pt x="875386" y="1137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hu-HU" sz="500" kern="1200">
            <a:latin typeface="Times New Roman" pitchFamily="18" charset="0"/>
            <a:cs typeface="Times New Roman" pitchFamily="18" charset="0"/>
          </a:endParaRPr>
        </a:p>
      </dsp:txBody>
      <dsp:txXfrm>
        <a:off x="3369840" y="1287261"/>
        <a:ext cx="43769" cy="43769"/>
      </dsp:txXfrm>
    </dsp:sp>
    <dsp:sp modelId="{BEB1DFBE-436A-49AE-BDA3-A37ABE2765C2}">
      <dsp:nvSpPr>
        <dsp:cNvPr id="0" name=""/>
        <dsp:cNvSpPr/>
      </dsp:nvSpPr>
      <dsp:spPr>
        <a:xfrm>
          <a:off x="3553408" y="700305"/>
          <a:ext cx="808418" cy="40420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hu-HU" sz="1200" kern="1200">
              <a:latin typeface="Times New Roman" pitchFamily="18" charset="0"/>
              <a:cs typeface="Times New Roman" pitchFamily="18" charset="0"/>
            </a:rPr>
            <a:t>Motorolajok (liter/cent)</a:t>
          </a:r>
        </a:p>
      </dsp:txBody>
      <dsp:txXfrm>
        <a:off x="3565247" y="712144"/>
        <a:ext cx="784740" cy="380531"/>
      </dsp:txXfrm>
    </dsp:sp>
    <dsp:sp modelId="{D98DE2EE-B3D4-4ACB-BEF5-B3F5F2B25F1B}">
      <dsp:nvSpPr>
        <dsp:cNvPr id="0" name=""/>
        <dsp:cNvSpPr/>
      </dsp:nvSpPr>
      <dsp:spPr>
        <a:xfrm rot="17692822">
          <a:off x="4139212" y="542409"/>
          <a:ext cx="768595" cy="22741"/>
        </a:xfrm>
        <a:custGeom>
          <a:avLst/>
          <a:gdLst/>
          <a:ahLst/>
          <a:cxnLst/>
          <a:rect l="0" t="0" r="0" b="0"/>
          <a:pathLst>
            <a:path>
              <a:moveTo>
                <a:pt x="0" y="11370"/>
              </a:moveTo>
              <a:lnTo>
                <a:pt x="768595" y="1137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hu-HU" sz="500" kern="1200">
            <a:latin typeface="Times New Roman" pitchFamily="18" charset="0"/>
            <a:cs typeface="Times New Roman" pitchFamily="18" charset="0"/>
          </a:endParaRPr>
        </a:p>
      </dsp:txBody>
      <dsp:txXfrm>
        <a:off x="4504295" y="534564"/>
        <a:ext cx="38429" cy="38429"/>
      </dsp:txXfrm>
    </dsp:sp>
    <dsp:sp modelId="{574E1D18-5D9A-4924-B55A-48F6095FBD27}">
      <dsp:nvSpPr>
        <dsp:cNvPr id="0" name=""/>
        <dsp:cNvSpPr/>
      </dsp:nvSpPr>
      <dsp:spPr>
        <a:xfrm>
          <a:off x="4685194" y="3044"/>
          <a:ext cx="808418" cy="40420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hu-HU" sz="1200" kern="1200">
              <a:latin typeface="Times New Roman" pitchFamily="18" charset="0"/>
              <a:cs typeface="Times New Roman" pitchFamily="18" charset="0"/>
            </a:rPr>
            <a:t>Dízel</a:t>
          </a:r>
        </a:p>
      </dsp:txBody>
      <dsp:txXfrm>
        <a:off x="4697033" y="14883"/>
        <a:ext cx="784740" cy="380531"/>
      </dsp:txXfrm>
    </dsp:sp>
    <dsp:sp modelId="{964AF4C8-5CB4-40C7-A90B-9A1FFEE40F46}">
      <dsp:nvSpPr>
        <dsp:cNvPr id="0" name=""/>
        <dsp:cNvSpPr/>
      </dsp:nvSpPr>
      <dsp:spPr>
        <a:xfrm rot="19457599">
          <a:off x="4324396" y="774829"/>
          <a:ext cx="398228" cy="22741"/>
        </a:xfrm>
        <a:custGeom>
          <a:avLst/>
          <a:gdLst/>
          <a:ahLst/>
          <a:cxnLst/>
          <a:rect l="0" t="0" r="0" b="0"/>
          <a:pathLst>
            <a:path>
              <a:moveTo>
                <a:pt x="0" y="11370"/>
              </a:moveTo>
              <a:lnTo>
                <a:pt x="398228" y="1137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hu-HU" sz="500" kern="1200">
            <a:latin typeface="Times New Roman" pitchFamily="18" charset="0"/>
            <a:cs typeface="Times New Roman" pitchFamily="18" charset="0"/>
          </a:endParaRPr>
        </a:p>
      </dsp:txBody>
      <dsp:txXfrm>
        <a:off x="4513554" y="776244"/>
        <a:ext cx="19911" cy="19911"/>
      </dsp:txXfrm>
    </dsp:sp>
    <dsp:sp modelId="{D143450F-13AE-4F1F-A17D-8A10F9EA8613}">
      <dsp:nvSpPr>
        <dsp:cNvPr id="0" name=""/>
        <dsp:cNvSpPr/>
      </dsp:nvSpPr>
      <dsp:spPr>
        <a:xfrm>
          <a:off x="4685194" y="467885"/>
          <a:ext cx="808418" cy="40420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hu-HU" sz="1200" kern="1200">
              <a:latin typeface="Times New Roman" pitchFamily="18" charset="0"/>
              <a:cs typeface="Times New Roman" pitchFamily="18" charset="0"/>
            </a:rPr>
            <a:t>Benzin</a:t>
          </a:r>
        </a:p>
      </dsp:txBody>
      <dsp:txXfrm>
        <a:off x="4697033" y="479724"/>
        <a:ext cx="784740" cy="380531"/>
      </dsp:txXfrm>
    </dsp:sp>
    <dsp:sp modelId="{45FAD744-6E6B-4877-B0D0-A0CFDD807393}">
      <dsp:nvSpPr>
        <dsp:cNvPr id="0" name=""/>
        <dsp:cNvSpPr/>
      </dsp:nvSpPr>
      <dsp:spPr>
        <a:xfrm rot="2142401">
          <a:off x="4324396" y="1007249"/>
          <a:ext cx="398228" cy="22741"/>
        </a:xfrm>
        <a:custGeom>
          <a:avLst/>
          <a:gdLst/>
          <a:ahLst/>
          <a:cxnLst/>
          <a:rect l="0" t="0" r="0" b="0"/>
          <a:pathLst>
            <a:path>
              <a:moveTo>
                <a:pt x="0" y="11370"/>
              </a:moveTo>
              <a:lnTo>
                <a:pt x="398228" y="1137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hu-HU" sz="500" kern="1200">
            <a:latin typeface="Times New Roman" pitchFamily="18" charset="0"/>
            <a:cs typeface="Times New Roman" pitchFamily="18" charset="0"/>
          </a:endParaRPr>
        </a:p>
      </dsp:txBody>
      <dsp:txXfrm>
        <a:off x="4513554" y="1008664"/>
        <a:ext cx="19911" cy="19911"/>
      </dsp:txXfrm>
    </dsp:sp>
    <dsp:sp modelId="{328D69B1-71DD-488B-93C1-347AC84AD40D}">
      <dsp:nvSpPr>
        <dsp:cNvPr id="0" name=""/>
        <dsp:cNvSpPr/>
      </dsp:nvSpPr>
      <dsp:spPr>
        <a:xfrm>
          <a:off x="4685194" y="932725"/>
          <a:ext cx="808418" cy="40420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hu-HU" sz="1200" kern="1200">
              <a:latin typeface="Times New Roman" pitchFamily="18" charset="0"/>
              <a:cs typeface="Times New Roman" pitchFamily="18" charset="0"/>
            </a:rPr>
            <a:t>Földgáz</a:t>
          </a:r>
        </a:p>
      </dsp:txBody>
      <dsp:txXfrm>
        <a:off x="4697033" y="944564"/>
        <a:ext cx="784740" cy="380531"/>
      </dsp:txXfrm>
    </dsp:sp>
    <dsp:sp modelId="{4C3F699B-4A8B-4512-8757-13E9D77B2E50}">
      <dsp:nvSpPr>
        <dsp:cNvPr id="0" name=""/>
        <dsp:cNvSpPr/>
      </dsp:nvSpPr>
      <dsp:spPr>
        <a:xfrm rot="3907178">
          <a:off x="4139212" y="1239669"/>
          <a:ext cx="768595" cy="22741"/>
        </a:xfrm>
        <a:custGeom>
          <a:avLst/>
          <a:gdLst/>
          <a:ahLst/>
          <a:cxnLst/>
          <a:rect l="0" t="0" r="0" b="0"/>
          <a:pathLst>
            <a:path>
              <a:moveTo>
                <a:pt x="0" y="11370"/>
              </a:moveTo>
              <a:lnTo>
                <a:pt x="768595" y="1137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hu-HU" sz="500" kern="1200">
            <a:latin typeface="Times New Roman" pitchFamily="18" charset="0"/>
            <a:cs typeface="Times New Roman" pitchFamily="18" charset="0"/>
          </a:endParaRPr>
        </a:p>
      </dsp:txBody>
      <dsp:txXfrm>
        <a:off x="4504295" y="1231825"/>
        <a:ext cx="38429" cy="38429"/>
      </dsp:txXfrm>
    </dsp:sp>
    <dsp:sp modelId="{A0090604-DB51-4824-8E23-A7C01B82FAAF}">
      <dsp:nvSpPr>
        <dsp:cNvPr id="0" name=""/>
        <dsp:cNvSpPr/>
      </dsp:nvSpPr>
      <dsp:spPr>
        <a:xfrm>
          <a:off x="4685194" y="1397566"/>
          <a:ext cx="808418" cy="40420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hu-HU" sz="1200" kern="1200">
              <a:latin typeface="Times New Roman" pitchFamily="18" charset="0"/>
              <a:cs typeface="Times New Roman" pitchFamily="18" charset="0"/>
            </a:rPr>
            <a:t>PB-gáz</a:t>
          </a:r>
        </a:p>
      </dsp:txBody>
      <dsp:txXfrm>
        <a:off x="4697033" y="1409405"/>
        <a:ext cx="784740" cy="380531"/>
      </dsp:txXfrm>
    </dsp:sp>
    <dsp:sp modelId="{6613E9EA-0B75-42CA-9222-2DCE3C30C23D}">
      <dsp:nvSpPr>
        <dsp:cNvPr id="0" name=""/>
        <dsp:cNvSpPr/>
      </dsp:nvSpPr>
      <dsp:spPr>
        <a:xfrm rot="4099285">
          <a:off x="2954031" y="2111245"/>
          <a:ext cx="875386" cy="22741"/>
        </a:xfrm>
        <a:custGeom>
          <a:avLst/>
          <a:gdLst/>
          <a:ahLst/>
          <a:cxnLst/>
          <a:rect l="0" t="0" r="0" b="0"/>
          <a:pathLst>
            <a:path>
              <a:moveTo>
                <a:pt x="0" y="11370"/>
              </a:moveTo>
              <a:lnTo>
                <a:pt x="875386" y="1137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hu-HU" sz="500" kern="1200">
            <a:latin typeface="Times New Roman" pitchFamily="18" charset="0"/>
            <a:cs typeface="Times New Roman" pitchFamily="18" charset="0"/>
          </a:endParaRPr>
        </a:p>
      </dsp:txBody>
      <dsp:txXfrm>
        <a:off x="3369840" y="2100731"/>
        <a:ext cx="43769" cy="43769"/>
      </dsp:txXfrm>
    </dsp:sp>
    <dsp:sp modelId="{A81C5D8E-BAD6-4553-B15A-CF756315DA08}">
      <dsp:nvSpPr>
        <dsp:cNvPr id="0" name=""/>
        <dsp:cNvSpPr/>
      </dsp:nvSpPr>
      <dsp:spPr>
        <a:xfrm>
          <a:off x="3553408" y="2327247"/>
          <a:ext cx="808418" cy="40420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hu-HU" sz="1200" kern="1200">
              <a:latin typeface="Times New Roman" pitchFamily="18" charset="0"/>
              <a:cs typeface="Times New Roman" pitchFamily="18" charset="0"/>
            </a:rPr>
            <a:t>Fűtőolajok</a:t>
          </a:r>
        </a:p>
      </dsp:txBody>
      <dsp:txXfrm>
        <a:off x="3565247" y="2339086"/>
        <a:ext cx="784740" cy="380531"/>
      </dsp:txXfrm>
    </dsp:sp>
    <dsp:sp modelId="{EECA3E21-8DA5-41CB-BDC1-A950F938434D}">
      <dsp:nvSpPr>
        <dsp:cNvPr id="0" name=""/>
        <dsp:cNvSpPr/>
      </dsp:nvSpPr>
      <dsp:spPr>
        <a:xfrm rot="18289469">
          <a:off x="4240383" y="2285561"/>
          <a:ext cx="566253" cy="22741"/>
        </a:xfrm>
        <a:custGeom>
          <a:avLst/>
          <a:gdLst/>
          <a:ahLst/>
          <a:cxnLst/>
          <a:rect l="0" t="0" r="0" b="0"/>
          <a:pathLst>
            <a:path>
              <a:moveTo>
                <a:pt x="0" y="11370"/>
              </a:moveTo>
              <a:lnTo>
                <a:pt x="566253" y="1137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hu-HU" sz="500" kern="1200">
            <a:latin typeface="Times New Roman" pitchFamily="18" charset="0"/>
            <a:cs typeface="Times New Roman" pitchFamily="18" charset="0"/>
          </a:endParaRPr>
        </a:p>
      </dsp:txBody>
      <dsp:txXfrm>
        <a:off x="4509354" y="2282775"/>
        <a:ext cx="28312" cy="28312"/>
      </dsp:txXfrm>
    </dsp:sp>
    <dsp:sp modelId="{BA565E7E-24B4-4A16-84C8-86675787C02D}">
      <dsp:nvSpPr>
        <dsp:cNvPr id="0" name=""/>
        <dsp:cNvSpPr/>
      </dsp:nvSpPr>
      <dsp:spPr>
        <a:xfrm>
          <a:off x="4685194" y="1862406"/>
          <a:ext cx="808418" cy="40420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hu-HU" sz="1000" kern="1200">
              <a:latin typeface="Times New Roman" pitchFamily="18" charset="0"/>
              <a:cs typeface="Times New Roman" pitchFamily="18" charset="0"/>
            </a:rPr>
            <a:t>Könnyű fűtőolajok (cent/liter)</a:t>
          </a:r>
        </a:p>
      </dsp:txBody>
      <dsp:txXfrm>
        <a:off x="4697033" y="1874245"/>
        <a:ext cx="784740" cy="380531"/>
      </dsp:txXfrm>
    </dsp:sp>
    <dsp:sp modelId="{4D079E4C-5DE0-4FA7-9F67-A9119C88A04C}">
      <dsp:nvSpPr>
        <dsp:cNvPr id="0" name=""/>
        <dsp:cNvSpPr/>
      </dsp:nvSpPr>
      <dsp:spPr>
        <a:xfrm>
          <a:off x="4361827" y="2517981"/>
          <a:ext cx="323367" cy="22741"/>
        </a:xfrm>
        <a:custGeom>
          <a:avLst/>
          <a:gdLst/>
          <a:ahLst/>
          <a:cxnLst/>
          <a:rect l="0" t="0" r="0" b="0"/>
          <a:pathLst>
            <a:path>
              <a:moveTo>
                <a:pt x="0" y="11370"/>
              </a:moveTo>
              <a:lnTo>
                <a:pt x="323367" y="1137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hu-HU" sz="500" kern="1200">
            <a:latin typeface="Times New Roman" pitchFamily="18" charset="0"/>
            <a:cs typeface="Times New Roman" pitchFamily="18" charset="0"/>
          </a:endParaRPr>
        </a:p>
      </dsp:txBody>
      <dsp:txXfrm>
        <a:off x="4515426" y="2521267"/>
        <a:ext cx="16168" cy="16168"/>
      </dsp:txXfrm>
    </dsp:sp>
    <dsp:sp modelId="{A9A6D5DD-E60C-47BD-B9AA-1E1576BC69CF}">
      <dsp:nvSpPr>
        <dsp:cNvPr id="0" name=""/>
        <dsp:cNvSpPr/>
      </dsp:nvSpPr>
      <dsp:spPr>
        <a:xfrm>
          <a:off x="4685194" y="2327247"/>
          <a:ext cx="808418" cy="40420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hu-HU" sz="1000" kern="1200">
              <a:latin typeface="Times New Roman" pitchFamily="18" charset="0"/>
              <a:cs typeface="Times New Roman" pitchFamily="18" charset="0"/>
            </a:rPr>
            <a:t>Nehéz fűtőolajok (cent/kg)</a:t>
          </a:r>
        </a:p>
      </dsp:txBody>
      <dsp:txXfrm>
        <a:off x="4697033" y="2339086"/>
        <a:ext cx="784740" cy="380531"/>
      </dsp:txXfrm>
    </dsp:sp>
    <dsp:sp modelId="{533144B8-F774-4F6E-97F5-548CD68213CE}">
      <dsp:nvSpPr>
        <dsp:cNvPr id="0" name=""/>
        <dsp:cNvSpPr/>
      </dsp:nvSpPr>
      <dsp:spPr>
        <a:xfrm rot="3310531">
          <a:off x="4240383" y="2750401"/>
          <a:ext cx="566253" cy="22741"/>
        </a:xfrm>
        <a:custGeom>
          <a:avLst/>
          <a:gdLst/>
          <a:ahLst/>
          <a:cxnLst/>
          <a:rect l="0" t="0" r="0" b="0"/>
          <a:pathLst>
            <a:path>
              <a:moveTo>
                <a:pt x="0" y="11370"/>
              </a:moveTo>
              <a:lnTo>
                <a:pt x="566253" y="1137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hu-HU" sz="500" kern="1200">
            <a:latin typeface="Times New Roman" pitchFamily="18" charset="0"/>
            <a:cs typeface="Times New Roman" pitchFamily="18" charset="0"/>
          </a:endParaRPr>
        </a:p>
      </dsp:txBody>
      <dsp:txXfrm>
        <a:off x="4509354" y="2747616"/>
        <a:ext cx="28312" cy="28312"/>
      </dsp:txXfrm>
    </dsp:sp>
    <dsp:sp modelId="{61FD81A0-3EEF-4CCC-A4A2-C702FDC6BD56}">
      <dsp:nvSpPr>
        <dsp:cNvPr id="0" name=""/>
        <dsp:cNvSpPr/>
      </dsp:nvSpPr>
      <dsp:spPr>
        <a:xfrm>
          <a:off x="4685194" y="2792088"/>
          <a:ext cx="808418" cy="40420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hu-HU" sz="1200" kern="1200">
              <a:latin typeface="Times New Roman" pitchFamily="18" charset="0"/>
              <a:cs typeface="Times New Roman" pitchFamily="18" charset="0"/>
            </a:rPr>
            <a:t>Földgáz (cent/KWh)</a:t>
          </a:r>
        </a:p>
      </dsp:txBody>
      <dsp:txXfrm>
        <a:off x="4697033" y="2803927"/>
        <a:ext cx="784740" cy="380531"/>
      </dsp:txXfrm>
    </dsp:sp>
    <dsp:sp modelId="{923AFB82-A108-454F-BE04-DBA7C2E97280}">
      <dsp:nvSpPr>
        <dsp:cNvPr id="0" name=""/>
        <dsp:cNvSpPr/>
      </dsp:nvSpPr>
      <dsp:spPr>
        <a:xfrm rot="3310531">
          <a:off x="1976812" y="1936930"/>
          <a:ext cx="566253" cy="22741"/>
        </a:xfrm>
        <a:custGeom>
          <a:avLst/>
          <a:gdLst/>
          <a:ahLst/>
          <a:cxnLst/>
          <a:rect l="0" t="0" r="0" b="0"/>
          <a:pathLst>
            <a:path>
              <a:moveTo>
                <a:pt x="0" y="11370"/>
              </a:moveTo>
              <a:lnTo>
                <a:pt x="566253" y="1137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hu-HU" sz="500" kern="1200">
            <a:latin typeface="Times New Roman" pitchFamily="18" charset="0"/>
            <a:cs typeface="Times New Roman" pitchFamily="18" charset="0"/>
          </a:endParaRPr>
        </a:p>
      </dsp:txBody>
      <dsp:txXfrm>
        <a:off x="2245783" y="1934145"/>
        <a:ext cx="28312" cy="28312"/>
      </dsp:txXfrm>
    </dsp:sp>
    <dsp:sp modelId="{08E48E2F-FFE4-4A7D-ABD3-4E48F61F2C7A}">
      <dsp:nvSpPr>
        <dsp:cNvPr id="0" name=""/>
        <dsp:cNvSpPr/>
      </dsp:nvSpPr>
      <dsp:spPr>
        <a:xfrm>
          <a:off x="2421623" y="1978617"/>
          <a:ext cx="808418" cy="40420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hu-HU" sz="1200" kern="1200">
              <a:latin typeface="Times New Roman" pitchFamily="18" charset="0"/>
              <a:cs typeface="Times New Roman" pitchFamily="18" charset="0"/>
            </a:rPr>
            <a:t>Szénadó</a:t>
          </a:r>
        </a:p>
      </dsp:txBody>
      <dsp:txXfrm>
        <a:off x="2433462" y="1990456"/>
        <a:ext cx="784740" cy="380531"/>
      </dsp:txXfrm>
    </dsp:sp>
    <dsp:sp modelId="{92DFB907-A785-4CC2-8197-FA63ACD3D7AD}">
      <dsp:nvSpPr>
        <dsp:cNvPr id="0" name=""/>
        <dsp:cNvSpPr/>
      </dsp:nvSpPr>
      <dsp:spPr>
        <a:xfrm rot="2142401">
          <a:off x="929039" y="2053140"/>
          <a:ext cx="398228" cy="22741"/>
        </a:xfrm>
        <a:custGeom>
          <a:avLst/>
          <a:gdLst/>
          <a:ahLst/>
          <a:cxnLst/>
          <a:rect l="0" t="0" r="0" b="0"/>
          <a:pathLst>
            <a:path>
              <a:moveTo>
                <a:pt x="0" y="11370"/>
              </a:moveTo>
              <a:lnTo>
                <a:pt x="398228" y="1137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hu-HU" sz="500" kern="1200">
            <a:latin typeface="Times New Roman" pitchFamily="18" charset="0"/>
            <a:cs typeface="Times New Roman" pitchFamily="18" charset="0"/>
          </a:endParaRPr>
        </a:p>
      </dsp:txBody>
      <dsp:txXfrm>
        <a:off x="1118197" y="2054555"/>
        <a:ext cx="19911" cy="19911"/>
      </dsp:txXfrm>
    </dsp:sp>
    <dsp:sp modelId="{78747D1B-853E-41EB-9CDF-138C924BD026}">
      <dsp:nvSpPr>
        <dsp:cNvPr id="0" name=""/>
        <dsp:cNvSpPr/>
      </dsp:nvSpPr>
      <dsp:spPr>
        <a:xfrm>
          <a:off x="1289837" y="1978617"/>
          <a:ext cx="808418" cy="404209"/>
        </a:xfrm>
        <a:prstGeom prst="roundRect">
          <a:avLst>
            <a:gd name="adj" fmla="val 10000"/>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hu-HU" sz="800" kern="1200">
              <a:latin typeface="Times New Roman" pitchFamily="18" charset="0"/>
              <a:cs typeface="Times New Roman" pitchFamily="18" charset="0"/>
            </a:rPr>
            <a:t>CO</a:t>
          </a:r>
          <a:r>
            <a:rPr lang="hu-HU" sz="800" kern="1200" baseline="-25000">
              <a:latin typeface="Times New Roman" pitchFamily="18" charset="0"/>
              <a:cs typeface="Times New Roman" pitchFamily="18" charset="0"/>
            </a:rPr>
            <a:t>2 </a:t>
          </a:r>
          <a:r>
            <a:rPr lang="hu-HU" sz="1200" kern="1200" baseline="0">
              <a:latin typeface="Times New Roman" pitchFamily="18" charset="0"/>
              <a:cs typeface="Times New Roman" pitchFamily="18" charset="0"/>
            </a:rPr>
            <a:t>adó</a:t>
          </a:r>
          <a:endParaRPr lang="hu-HU" sz="800" kern="1200">
            <a:latin typeface="Times New Roman" pitchFamily="18" charset="0"/>
            <a:cs typeface="Times New Roman" pitchFamily="18" charset="0"/>
          </a:endParaRPr>
        </a:p>
      </dsp:txBody>
      <dsp:txXfrm>
        <a:off x="1301676" y="1990456"/>
        <a:ext cx="784740" cy="38053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43431BE-84EE-4FD6-B77F-48EF1FEA7B33}">
      <dsp:nvSpPr>
        <dsp:cNvPr id="0" name=""/>
        <dsp:cNvSpPr/>
      </dsp:nvSpPr>
      <dsp:spPr>
        <a:xfrm>
          <a:off x="0" y="1540217"/>
          <a:ext cx="1167281" cy="38158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hu-HU" sz="1200" kern="1200">
              <a:latin typeface="Times New Roman" pitchFamily="18" charset="0"/>
              <a:cs typeface="Times New Roman" pitchFamily="18" charset="0"/>
            </a:rPr>
            <a:t>Környezetvédelmi adók</a:t>
          </a:r>
        </a:p>
      </dsp:txBody>
      <dsp:txXfrm>
        <a:off x="11176" y="1551393"/>
        <a:ext cx="1144929" cy="359231"/>
      </dsp:txXfrm>
    </dsp:sp>
    <dsp:sp modelId="{8E5BAC1A-7592-4E60-B9C6-1A07A3BD6FEE}">
      <dsp:nvSpPr>
        <dsp:cNvPr id="0" name=""/>
        <dsp:cNvSpPr/>
      </dsp:nvSpPr>
      <dsp:spPr>
        <a:xfrm rot="17993361">
          <a:off x="831774" y="1141397"/>
          <a:ext cx="1337550" cy="19580"/>
        </a:xfrm>
        <a:custGeom>
          <a:avLst/>
          <a:gdLst/>
          <a:ahLst/>
          <a:cxnLst/>
          <a:rect l="0" t="0" r="0" b="0"/>
          <a:pathLst>
            <a:path>
              <a:moveTo>
                <a:pt x="0" y="9790"/>
              </a:moveTo>
              <a:lnTo>
                <a:pt x="1337550" y="979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hu-HU" sz="500" kern="1200">
            <a:latin typeface="Times New Roman" pitchFamily="18" charset="0"/>
            <a:cs typeface="Times New Roman" pitchFamily="18" charset="0"/>
          </a:endParaRPr>
        </a:p>
      </dsp:txBody>
      <dsp:txXfrm>
        <a:off x="1467110" y="1117748"/>
        <a:ext cx="66877" cy="66877"/>
      </dsp:txXfrm>
    </dsp:sp>
    <dsp:sp modelId="{6FBAE30C-64B9-4A79-A13E-D2134F42CE0C}">
      <dsp:nvSpPr>
        <dsp:cNvPr id="0" name=""/>
        <dsp:cNvSpPr/>
      </dsp:nvSpPr>
      <dsp:spPr>
        <a:xfrm>
          <a:off x="1833818" y="371210"/>
          <a:ext cx="1146949" cy="40031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hu-HU" sz="1200" kern="1200">
              <a:latin typeface="Times New Roman" pitchFamily="18" charset="0"/>
              <a:cs typeface="Times New Roman" pitchFamily="18" charset="0"/>
            </a:rPr>
            <a:t>Energiaadó</a:t>
          </a:r>
        </a:p>
      </dsp:txBody>
      <dsp:txXfrm>
        <a:off x="1845543" y="382935"/>
        <a:ext cx="1123499" cy="376863"/>
      </dsp:txXfrm>
    </dsp:sp>
    <dsp:sp modelId="{E8CB3D3E-B6A2-493E-9E07-00CBCC745CE5}">
      <dsp:nvSpPr>
        <dsp:cNvPr id="0" name=""/>
        <dsp:cNvSpPr/>
      </dsp:nvSpPr>
      <dsp:spPr>
        <a:xfrm rot="20198185">
          <a:off x="2944822" y="387727"/>
          <a:ext cx="876777" cy="19580"/>
        </a:xfrm>
        <a:custGeom>
          <a:avLst/>
          <a:gdLst/>
          <a:ahLst/>
          <a:cxnLst/>
          <a:rect l="0" t="0" r="0" b="0"/>
          <a:pathLst>
            <a:path>
              <a:moveTo>
                <a:pt x="0" y="9790"/>
              </a:moveTo>
              <a:lnTo>
                <a:pt x="876777" y="979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hu-HU" sz="500" kern="1200">
            <a:latin typeface="Times New Roman" pitchFamily="18" charset="0"/>
            <a:cs typeface="Times New Roman" pitchFamily="18" charset="0"/>
          </a:endParaRPr>
        </a:p>
      </dsp:txBody>
      <dsp:txXfrm>
        <a:off x="3361292" y="375597"/>
        <a:ext cx="43838" cy="43838"/>
      </dsp:txXfrm>
    </dsp:sp>
    <dsp:sp modelId="{3AF72677-4E80-46D0-9A05-FA54EEB9FDBC}">
      <dsp:nvSpPr>
        <dsp:cNvPr id="0" name=""/>
        <dsp:cNvSpPr/>
      </dsp:nvSpPr>
      <dsp:spPr>
        <a:xfrm>
          <a:off x="3785655" y="49597"/>
          <a:ext cx="1681693" cy="348140"/>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hu-HU" sz="1200" b="0" kern="1200">
              <a:solidFill>
                <a:sysClr val="windowText" lastClr="000000"/>
              </a:solidFill>
              <a:latin typeface="Times New Roman" pitchFamily="18" charset="0"/>
              <a:cs typeface="Times New Roman" pitchFamily="18" charset="0"/>
            </a:rPr>
            <a:t>Szénhidrogének adója</a:t>
          </a:r>
        </a:p>
      </dsp:txBody>
      <dsp:txXfrm>
        <a:off x="3795852" y="59794"/>
        <a:ext cx="1661299" cy="327746"/>
      </dsp:txXfrm>
    </dsp:sp>
    <dsp:sp modelId="{51BC11A0-682A-4F09-8AA1-F97170AEAD1A}">
      <dsp:nvSpPr>
        <dsp:cNvPr id="0" name=""/>
        <dsp:cNvSpPr/>
      </dsp:nvSpPr>
      <dsp:spPr>
        <a:xfrm rot="140167">
          <a:off x="2980425" y="578382"/>
          <a:ext cx="824623" cy="19580"/>
        </a:xfrm>
        <a:custGeom>
          <a:avLst/>
          <a:gdLst/>
          <a:ahLst/>
          <a:cxnLst/>
          <a:rect l="0" t="0" r="0" b="0"/>
          <a:pathLst>
            <a:path>
              <a:moveTo>
                <a:pt x="0" y="9790"/>
              </a:moveTo>
              <a:lnTo>
                <a:pt x="824623" y="979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hu-HU" sz="500" kern="1200">
            <a:latin typeface="Times New Roman" pitchFamily="18" charset="0"/>
            <a:cs typeface="Times New Roman" pitchFamily="18" charset="0"/>
          </a:endParaRPr>
        </a:p>
      </dsp:txBody>
      <dsp:txXfrm>
        <a:off x="3372121" y="567557"/>
        <a:ext cx="41231" cy="41231"/>
      </dsp:txXfrm>
    </dsp:sp>
    <dsp:sp modelId="{C7214CFF-4613-47F8-8CB9-6C6CF0BFCC6D}">
      <dsp:nvSpPr>
        <dsp:cNvPr id="0" name=""/>
        <dsp:cNvSpPr/>
      </dsp:nvSpPr>
      <dsp:spPr>
        <a:xfrm>
          <a:off x="3804705" y="430909"/>
          <a:ext cx="1681693" cy="348140"/>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hu-HU" sz="1200" b="0" kern="1200">
              <a:solidFill>
                <a:sysClr val="windowText" lastClr="000000"/>
              </a:solidFill>
              <a:latin typeface="Times New Roman" pitchFamily="18" charset="0"/>
              <a:cs typeface="Times New Roman" pitchFamily="18" charset="0"/>
            </a:rPr>
            <a:t>Fossil Fuel Levy (FFL)</a:t>
          </a:r>
        </a:p>
      </dsp:txBody>
      <dsp:txXfrm>
        <a:off x="3814902" y="441106"/>
        <a:ext cx="1661299" cy="327746"/>
      </dsp:txXfrm>
    </dsp:sp>
    <dsp:sp modelId="{5E62C546-5F62-475B-BC7A-1F64BD589206}">
      <dsp:nvSpPr>
        <dsp:cNvPr id="0" name=""/>
        <dsp:cNvSpPr/>
      </dsp:nvSpPr>
      <dsp:spPr>
        <a:xfrm rot="1670052">
          <a:off x="2929360" y="769038"/>
          <a:ext cx="888652" cy="19580"/>
        </a:xfrm>
        <a:custGeom>
          <a:avLst/>
          <a:gdLst/>
          <a:ahLst/>
          <a:cxnLst/>
          <a:rect l="0" t="0" r="0" b="0"/>
          <a:pathLst>
            <a:path>
              <a:moveTo>
                <a:pt x="0" y="9790"/>
              </a:moveTo>
              <a:lnTo>
                <a:pt x="888652" y="979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hu-HU" sz="500" kern="1200">
            <a:latin typeface="Times New Roman" pitchFamily="18" charset="0"/>
            <a:cs typeface="Times New Roman" pitchFamily="18" charset="0"/>
          </a:endParaRPr>
        </a:p>
      </dsp:txBody>
      <dsp:txXfrm>
        <a:off x="3351470" y="756612"/>
        <a:ext cx="44432" cy="44432"/>
      </dsp:txXfrm>
    </dsp:sp>
    <dsp:sp modelId="{6A9AD2CE-7962-45EA-A81A-0B3531162096}">
      <dsp:nvSpPr>
        <dsp:cNvPr id="0" name=""/>
        <dsp:cNvSpPr/>
      </dsp:nvSpPr>
      <dsp:spPr>
        <a:xfrm>
          <a:off x="3766604" y="812220"/>
          <a:ext cx="1719794" cy="348140"/>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hu-HU" sz="1200" b="0" kern="1200">
              <a:solidFill>
                <a:sysClr val="windowText" lastClr="000000"/>
              </a:solidFill>
              <a:latin typeface="Times New Roman" pitchFamily="18" charset="0"/>
              <a:cs typeface="Times New Roman" pitchFamily="18" charset="0"/>
            </a:rPr>
            <a:t>Climate Change Levy (CCL)</a:t>
          </a:r>
        </a:p>
      </dsp:txBody>
      <dsp:txXfrm>
        <a:off x="3776801" y="822417"/>
        <a:ext cx="1699400" cy="327746"/>
      </dsp:txXfrm>
    </dsp:sp>
    <dsp:sp modelId="{4709483C-0C1A-4688-AC35-399982118C7E}">
      <dsp:nvSpPr>
        <dsp:cNvPr id="0" name=""/>
        <dsp:cNvSpPr/>
      </dsp:nvSpPr>
      <dsp:spPr>
        <a:xfrm rot="21576868">
          <a:off x="1167268" y="1717443"/>
          <a:ext cx="1122069" cy="19580"/>
        </a:xfrm>
        <a:custGeom>
          <a:avLst/>
          <a:gdLst/>
          <a:ahLst/>
          <a:cxnLst/>
          <a:rect l="0" t="0" r="0" b="0"/>
          <a:pathLst>
            <a:path>
              <a:moveTo>
                <a:pt x="0" y="9790"/>
              </a:moveTo>
              <a:lnTo>
                <a:pt x="1122069" y="979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hu-HU" sz="500" kern="1200">
            <a:latin typeface="Times New Roman" pitchFamily="18" charset="0"/>
            <a:cs typeface="Times New Roman" pitchFamily="18" charset="0"/>
          </a:endParaRPr>
        </a:p>
      </dsp:txBody>
      <dsp:txXfrm>
        <a:off x="1700251" y="1699181"/>
        <a:ext cx="56103" cy="56103"/>
      </dsp:txXfrm>
    </dsp:sp>
    <dsp:sp modelId="{840A8A24-B84C-441B-8F7B-C474EED0ED31}">
      <dsp:nvSpPr>
        <dsp:cNvPr id="0" name=""/>
        <dsp:cNvSpPr/>
      </dsp:nvSpPr>
      <dsp:spPr>
        <a:xfrm>
          <a:off x="2289325" y="1551443"/>
          <a:ext cx="1143802" cy="344029"/>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hu-HU" sz="1200" kern="1200">
              <a:latin typeface="Times New Roman" pitchFamily="18" charset="0"/>
              <a:cs typeface="Times New Roman" pitchFamily="18" charset="0"/>
            </a:rPr>
            <a:t>Közlekedési adók</a:t>
          </a:r>
        </a:p>
      </dsp:txBody>
      <dsp:txXfrm>
        <a:off x="2299401" y="1561519"/>
        <a:ext cx="1123650" cy="323877"/>
      </dsp:txXfrm>
    </dsp:sp>
    <dsp:sp modelId="{D2F52BED-2DA0-49EA-A3C6-D59EB95D26FA}">
      <dsp:nvSpPr>
        <dsp:cNvPr id="0" name=""/>
        <dsp:cNvSpPr/>
      </dsp:nvSpPr>
      <dsp:spPr>
        <a:xfrm rot="18966695">
          <a:off x="3369117" y="1554790"/>
          <a:ext cx="458351" cy="19580"/>
        </a:xfrm>
        <a:custGeom>
          <a:avLst/>
          <a:gdLst/>
          <a:ahLst/>
          <a:cxnLst/>
          <a:rect l="0" t="0" r="0" b="0"/>
          <a:pathLst>
            <a:path>
              <a:moveTo>
                <a:pt x="0" y="9790"/>
              </a:moveTo>
              <a:lnTo>
                <a:pt x="458351" y="979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hu-HU" sz="500" kern="1200">
            <a:latin typeface="Times New Roman" pitchFamily="18" charset="0"/>
            <a:cs typeface="Times New Roman" pitchFamily="18" charset="0"/>
          </a:endParaRPr>
        </a:p>
      </dsp:txBody>
      <dsp:txXfrm>
        <a:off x="3586834" y="1553122"/>
        <a:ext cx="22917" cy="22917"/>
      </dsp:txXfrm>
    </dsp:sp>
    <dsp:sp modelId="{A9777576-3538-4E35-9DD0-85EA42034D87}">
      <dsp:nvSpPr>
        <dsp:cNvPr id="0" name=""/>
        <dsp:cNvSpPr/>
      </dsp:nvSpPr>
      <dsp:spPr>
        <a:xfrm>
          <a:off x="3763457" y="1231632"/>
          <a:ext cx="1703891" cy="348140"/>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hu-HU" sz="1200" kern="1200">
              <a:latin typeface="Times New Roman" pitchFamily="18" charset="0"/>
              <a:cs typeface="Times New Roman" pitchFamily="18" charset="0"/>
            </a:rPr>
            <a:t>Légiutas adó</a:t>
          </a:r>
        </a:p>
      </dsp:txBody>
      <dsp:txXfrm>
        <a:off x="3773654" y="1241829"/>
        <a:ext cx="1683497" cy="327746"/>
      </dsp:txXfrm>
    </dsp:sp>
    <dsp:sp modelId="{70F6437D-7DDD-4E7A-A124-C0697D74C4FD}">
      <dsp:nvSpPr>
        <dsp:cNvPr id="0" name=""/>
        <dsp:cNvSpPr/>
      </dsp:nvSpPr>
      <dsp:spPr>
        <a:xfrm rot="708871">
          <a:off x="3429347" y="1750208"/>
          <a:ext cx="356941" cy="19580"/>
        </a:xfrm>
        <a:custGeom>
          <a:avLst/>
          <a:gdLst/>
          <a:ahLst/>
          <a:cxnLst/>
          <a:rect l="0" t="0" r="0" b="0"/>
          <a:pathLst>
            <a:path>
              <a:moveTo>
                <a:pt x="0" y="9790"/>
              </a:moveTo>
              <a:lnTo>
                <a:pt x="356941" y="979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hu-HU" sz="500" kern="1200">
            <a:latin typeface="Times New Roman" pitchFamily="18" charset="0"/>
            <a:cs typeface="Times New Roman" pitchFamily="18" charset="0"/>
          </a:endParaRPr>
        </a:p>
      </dsp:txBody>
      <dsp:txXfrm>
        <a:off x="3598894" y="1751075"/>
        <a:ext cx="17847" cy="17847"/>
      </dsp:txXfrm>
    </dsp:sp>
    <dsp:sp modelId="{77FC5F2F-2E62-4801-80FA-AA328AAC4F46}">
      <dsp:nvSpPr>
        <dsp:cNvPr id="0" name=""/>
        <dsp:cNvSpPr/>
      </dsp:nvSpPr>
      <dsp:spPr>
        <a:xfrm>
          <a:off x="3782508" y="1622469"/>
          <a:ext cx="1703891" cy="348140"/>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hu-HU" sz="1200" kern="1200">
              <a:latin typeface="Times New Roman" pitchFamily="18" charset="0"/>
              <a:cs typeface="Times New Roman" pitchFamily="18" charset="0"/>
            </a:rPr>
            <a:t>Gépjármű excise duty (vállalati)</a:t>
          </a:r>
        </a:p>
      </dsp:txBody>
      <dsp:txXfrm>
        <a:off x="3792705" y="1632666"/>
        <a:ext cx="1683497" cy="327746"/>
      </dsp:txXfrm>
    </dsp:sp>
    <dsp:sp modelId="{A4379BB2-B163-48C5-8D8C-B00DB3C249AD}">
      <dsp:nvSpPr>
        <dsp:cNvPr id="0" name=""/>
        <dsp:cNvSpPr/>
      </dsp:nvSpPr>
      <dsp:spPr>
        <a:xfrm rot="3240715">
          <a:off x="3324617" y="1926577"/>
          <a:ext cx="526260" cy="19580"/>
        </a:xfrm>
        <a:custGeom>
          <a:avLst/>
          <a:gdLst/>
          <a:ahLst/>
          <a:cxnLst/>
          <a:rect l="0" t="0" r="0" b="0"/>
          <a:pathLst>
            <a:path>
              <a:moveTo>
                <a:pt x="0" y="9790"/>
              </a:moveTo>
              <a:lnTo>
                <a:pt x="526260" y="979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hu-HU" sz="500" kern="1200">
            <a:latin typeface="Times New Roman" pitchFamily="18" charset="0"/>
            <a:cs typeface="Times New Roman" pitchFamily="18" charset="0"/>
          </a:endParaRPr>
        </a:p>
      </dsp:txBody>
      <dsp:txXfrm>
        <a:off x="3574591" y="1923210"/>
        <a:ext cx="26313" cy="26313"/>
      </dsp:txXfrm>
    </dsp:sp>
    <dsp:sp modelId="{F7FEBFAA-2695-4982-8C39-E6D8FD913AE0}">
      <dsp:nvSpPr>
        <dsp:cNvPr id="0" name=""/>
        <dsp:cNvSpPr/>
      </dsp:nvSpPr>
      <dsp:spPr>
        <a:xfrm>
          <a:off x="3742367" y="1975205"/>
          <a:ext cx="1744031" cy="348140"/>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hu-HU" sz="1200" kern="1200">
              <a:latin typeface="Times New Roman" pitchFamily="18" charset="0"/>
              <a:cs typeface="Times New Roman" pitchFamily="18" charset="0"/>
            </a:rPr>
            <a:t>Gépjármű excise duty (háztartások)</a:t>
          </a:r>
        </a:p>
      </dsp:txBody>
      <dsp:txXfrm>
        <a:off x="3752564" y="1985402"/>
        <a:ext cx="1723637" cy="327746"/>
      </dsp:txXfrm>
    </dsp:sp>
    <dsp:sp modelId="{5939191A-6146-4305-8CB2-93016D39033F}">
      <dsp:nvSpPr>
        <dsp:cNvPr id="0" name=""/>
        <dsp:cNvSpPr/>
      </dsp:nvSpPr>
      <dsp:spPr>
        <a:xfrm rot="2303456">
          <a:off x="1035260" y="2100425"/>
          <a:ext cx="1221233" cy="19580"/>
        </a:xfrm>
        <a:custGeom>
          <a:avLst/>
          <a:gdLst/>
          <a:ahLst/>
          <a:cxnLst/>
          <a:rect l="0" t="0" r="0" b="0"/>
          <a:pathLst>
            <a:path>
              <a:moveTo>
                <a:pt x="0" y="9790"/>
              </a:moveTo>
              <a:lnTo>
                <a:pt x="1221233" y="979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hu-HU" sz="500" kern="1200">
            <a:latin typeface="Times New Roman" pitchFamily="18" charset="0"/>
            <a:cs typeface="Times New Roman" pitchFamily="18" charset="0"/>
          </a:endParaRPr>
        </a:p>
      </dsp:txBody>
      <dsp:txXfrm>
        <a:off x="1615346" y="2079685"/>
        <a:ext cx="61061" cy="61061"/>
      </dsp:txXfrm>
    </dsp:sp>
    <dsp:sp modelId="{9C1313D9-A264-4A8A-A1F7-89DC80417C0A}">
      <dsp:nvSpPr>
        <dsp:cNvPr id="0" name=""/>
        <dsp:cNvSpPr/>
      </dsp:nvSpPr>
      <dsp:spPr>
        <a:xfrm>
          <a:off x="2124473" y="2294612"/>
          <a:ext cx="1128985" cy="389621"/>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hu-HU" sz="1200" kern="1200">
              <a:latin typeface="Times New Roman" pitchFamily="18" charset="0"/>
              <a:cs typeface="Times New Roman" pitchFamily="18" charset="0"/>
            </a:rPr>
            <a:t>Szennyezési adók</a:t>
          </a:r>
        </a:p>
      </dsp:txBody>
      <dsp:txXfrm>
        <a:off x="2135885" y="2306024"/>
        <a:ext cx="1106161" cy="366797"/>
      </dsp:txXfrm>
    </dsp:sp>
    <dsp:sp modelId="{59E89D57-95BB-43FB-AA51-66CD6144928C}">
      <dsp:nvSpPr>
        <dsp:cNvPr id="0" name=""/>
        <dsp:cNvSpPr/>
      </dsp:nvSpPr>
      <dsp:spPr>
        <a:xfrm rot="445777">
          <a:off x="3251505" y="2509735"/>
          <a:ext cx="465585" cy="19580"/>
        </a:xfrm>
        <a:custGeom>
          <a:avLst/>
          <a:gdLst/>
          <a:ahLst/>
          <a:cxnLst/>
          <a:rect l="0" t="0" r="0" b="0"/>
          <a:pathLst>
            <a:path>
              <a:moveTo>
                <a:pt x="0" y="9790"/>
              </a:moveTo>
              <a:lnTo>
                <a:pt x="465585" y="979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hu-HU" sz="500" kern="1200">
            <a:latin typeface="Times New Roman" pitchFamily="18" charset="0"/>
            <a:cs typeface="Times New Roman" pitchFamily="18" charset="0"/>
          </a:endParaRPr>
        </a:p>
      </dsp:txBody>
      <dsp:txXfrm>
        <a:off x="3472658" y="2507886"/>
        <a:ext cx="23279" cy="23279"/>
      </dsp:txXfrm>
    </dsp:sp>
    <dsp:sp modelId="{3C6FDB14-57D3-4FF6-B2FB-F58B1030D227}">
      <dsp:nvSpPr>
        <dsp:cNvPr id="0" name=""/>
        <dsp:cNvSpPr/>
      </dsp:nvSpPr>
      <dsp:spPr>
        <a:xfrm>
          <a:off x="3715135" y="2375557"/>
          <a:ext cx="1771263" cy="348140"/>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hu-HU" sz="1200" kern="1200">
              <a:latin typeface="Times New Roman" pitchFamily="18" charset="0"/>
              <a:cs typeface="Times New Roman" pitchFamily="18" charset="0"/>
            </a:rPr>
            <a:t>A hulladéklerakókra kivetett adó</a:t>
          </a:r>
        </a:p>
      </dsp:txBody>
      <dsp:txXfrm>
        <a:off x="3725332" y="2385754"/>
        <a:ext cx="1750869" cy="327746"/>
      </dsp:txXfrm>
    </dsp:sp>
    <dsp:sp modelId="{AAB5B30E-BC77-48CF-8538-C3D09F5AD347}">
      <dsp:nvSpPr>
        <dsp:cNvPr id="0" name=""/>
        <dsp:cNvSpPr/>
      </dsp:nvSpPr>
      <dsp:spPr>
        <a:xfrm rot="3247905">
          <a:off x="863877" y="2314993"/>
          <a:ext cx="1465449" cy="19580"/>
        </a:xfrm>
        <a:custGeom>
          <a:avLst/>
          <a:gdLst/>
          <a:ahLst/>
          <a:cxnLst/>
          <a:rect l="0" t="0" r="0" b="0"/>
          <a:pathLst>
            <a:path>
              <a:moveTo>
                <a:pt x="0" y="9790"/>
              </a:moveTo>
              <a:lnTo>
                <a:pt x="1465449" y="979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hu-HU" sz="500" kern="1200">
            <a:latin typeface="Times New Roman" pitchFamily="18" charset="0"/>
            <a:cs typeface="Times New Roman" pitchFamily="18" charset="0"/>
          </a:endParaRPr>
        </a:p>
      </dsp:txBody>
      <dsp:txXfrm>
        <a:off x="1559965" y="2288147"/>
        <a:ext cx="73272" cy="73272"/>
      </dsp:txXfrm>
    </dsp:sp>
    <dsp:sp modelId="{C3DA6826-C683-4D26-B051-8765A1EB01FC}">
      <dsp:nvSpPr>
        <dsp:cNvPr id="0" name=""/>
        <dsp:cNvSpPr/>
      </dsp:nvSpPr>
      <dsp:spPr>
        <a:xfrm>
          <a:off x="2025922" y="2731968"/>
          <a:ext cx="1200869" cy="373182"/>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hu-HU" sz="1200" b="0" kern="1200">
              <a:solidFill>
                <a:sysClr val="windowText" lastClr="000000"/>
              </a:solidFill>
              <a:latin typeface="Times New Roman" pitchFamily="18" charset="0"/>
              <a:cs typeface="Times New Roman" pitchFamily="18" charset="0"/>
            </a:rPr>
            <a:t>Erőforrás adók</a:t>
          </a:r>
        </a:p>
      </dsp:txBody>
      <dsp:txXfrm>
        <a:off x="2036852" y="2742898"/>
        <a:ext cx="1179009" cy="351322"/>
      </dsp:txXfrm>
    </dsp:sp>
    <dsp:sp modelId="{34059CDD-D0C8-4D1B-9BCB-B444D716A974}">
      <dsp:nvSpPr>
        <dsp:cNvPr id="0" name=""/>
        <dsp:cNvSpPr/>
      </dsp:nvSpPr>
      <dsp:spPr>
        <a:xfrm rot="55244">
          <a:off x="3226752" y="2913613"/>
          <a:ext cx="602946" cy="19580"/>
        </a:xfrm>
        <a:custGeom>
          <a:avLst/>
          <a:gdLst/>
          <a:ahLst/>
          <a:cxnLst/>
          <a:rect l="0" t="0" r="0" b="0"/>
          <a:pathLst>
            <a:path>
              <a:moveTo>
                <a:pt x="0" y="9790"/>
              </a:moveTo>
              <a:lnTo>
                <a:pt x="602946" y="979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hu-HU" sz="500" kern="1200">
            <a:latin typeface="Times New Roman" pitchFamily="18" charset="0"/>
            <a:cs typeface="Times New Roman" pitchFamily="18" charset="0"/>
          </a:endParaRPr>
        </a:p>
      </dsp:txBody>
      <dsp:txXfrm>
        <a:off x="3513152" y="2908330"/>
        <a:ext cx="30147" cy="30147"/>
      </dsp:txXfrm>
    </dsp:sp>
    <dsp:sp modelId="{BE11782B-A716-429B-8953-E84870E78A31}">
      <dsp:nvSpPr>
        <dsp:cNvPr id="0" name=""/>
        <dsp:cNvSpPr/>
      </dsp:nvSpPr>
      <dsp:spPr>
        <a:xfrm>
          <a:off x="3829660" y="2754177"/>
          <a:ext cx="1637688" cy="348140"/>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hu-HU" sz="1200" b="0" kern="1200">
              <a:solidFill>
                <a:sysClr val="windowText" lastClr="000000"/>
              </a:solidFill>
              <a:latin typeface="Times New Roman" pitchFamily="18" charset="0"/>
              <a:cs typeface="Times New Roman" pitchFamily="18" charset="0"/>
            </a:rPr>
            <a:t>Az adalékanyagok adója</a:t>
          </a:r>
        </a:p>
      </dsp:txBody>
      <dsp:txXfrm>
        <a:off x="3839857" y="2764374"/>
        <a:ext cx="1617294" cy="327746"/>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EE536E0-E3D2-4A98-83D2-1BCAB06E331A}">
      <dsp:nvSpPr>
        <dsp:cNvPr id="0" name=""/>
        <dsp:cNvSpPr/>
      </dsp:nvSpPr>
      <dsp:spPr>
        <a:xfrm>
          <a:off x="572772" y="1643037"/>
          <a:ext cx="1142330" cy="571165"/>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hu-HU" sz="1100" kern="1200">
              <a:latin typeface="Times New Roman" pitchFamily="18" charset="0"/>
              <a:cs typeface="Times New Roman" pitchFamily="18" charset="0"/>
            </a:rPr>
            <a:t>Környezetvédelmi adók</a:t>
          </a:r>
        </a:p>
      </dsp:txBody>
      <dsp:txXfrm>
        <a:off x="589501" y="1659766"/>
        <a:ext cx="1108872" cy="537707"/>
      </dsp:txXfrm>
    </dsp:sp>
    <dsp:sp modelId="{0A974841-25E1-45E1-8E3D-FA06EC91754A}">
      <dsp:nvSpPr>
        <dsp:cNvPr id="0" name=""/>
        <dsp:cNvSpPr/>
      </dsp:nvSpPr>
      <dsp:spPr>
        <a:xfrm rot="17692822">
          <a:off x="1400539" y="1419928"/>
          <a:ext cx="1086058" cy="32124"/>
        </a:xfrm>
        <a:custGeom>
          <a:avLst/>
          <a:gdLst/>
          <a:ahLst/>
          <a:cxnLst/>
          <a:rect l="0" t="0" r="0" b="0"/>
          <a:pathLst>
            <a:path>
              <a:moveTo>
                <a:pt x="0" y="16062"/>
              </a:moveTo>
              <a:lnTo>
                <a:pt x="1086058" y="16062"/>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hu-HU" sz="500" kern="1200">
            <a:latin typeface="Times New Roman" pitchFamily="18" charset="0"/>
            <a:cs typeface="Times New Roman" pitchFamily="18" charset="0"/>
          </a:endParaRPr>
        </a:p>
      </dsp:txBody>
      <dsp:txXfrm>
        <a:off x="1916417" y="1408838"/>
        <a:ext cx="54302" cy="54302"/>
      </dsp:txXfrm>
    </dsp:sp>
    <dsp:sp modelId="{AD2834D1-AC85-47F9-86F8-F43A2B9372FC}">
      <dsp:nvSpPr>
        <dsp:cNvPr id="0" name=""/>
        <dsp:cNvSpPr/>
      </dsp:nvSpPr>
      <dsp:spPr>
        <a:xfrm>
          <a:off x="2172034" y="657777"/>
          <a:ext cx="1142330" cy="571165"/>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hu-HU" sz="1100" kern="1200">
              <a:latin typeface="Times New Roman" pitchFamily="18" charset="0"/>
              <a:cs typeface="Times New Roman" pitchFamily="18" charset="0"/>
            </a:rPr>
            <a:t>Energiaadó</a:t>
          </a:r>
        </a:p>
      </dsp:txBody>
      <dsp:txXfrm>
        <a:off x="2188763" y="674506"/>
        <a:ext cx="1108872" cy="537707"/>
      </dsp:txXfrm>
    </dsp:sp>
    <dsp:sp modelId="{F8AE7252-A9BA-4CE8-950D-2EF5BAFAE750}">
      <dsp:nvSpPr>
        <dsp:cNvPr id="0" name=""/>
        <dsp:cNvSpPr/>
      </dsp:nvSpPr>
      <dsp:spPr>
        <a:xfrm rot="18289469">
          <a:off x="3142760" y="598878"/>
          <a:ext cx="800140" cy="32124"/>
        </a:xfrm>
        <a:custGeom>
          <a:avLst/>
          <a:gdLst/>
          <a:ahLst/>
          <a:cxnLst/>
          <a:rect l="0" t="0" r="0" b="0"/>
          <a:pathLst>
            <a:path>
              <a:moveTo>
                <a:pt x="0" y="16062"/>
              </a:moveTo>
              <a:lnTo>
                <a:pt x="800140" y="16062"/>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hu-HU" sz="500" kern="1200">
            <a:latin typeface="Times New Roman" pitchFamily="18" charset="0"/>
            <a:cs typeface="Times New Roman" pitchFamily="18" charset="0"/>
          </a:endParaRPr>
        </a:p>
      </dsp:txBody>
      <dsp:txXfrm>
        <a:off x="3522827" y="594936"/>
        <a:ext cx="40007" cy="40007"/>
      </dsp:txXfrm>
    </dsp:sp>
    <dsp:sp modelId="{DCE1565D-727F-42DC-9535-CBC81169B9A2}">
      <dsp:nvSpPr>
        <dsp:cNvPr id="0" name=""/>
        <dsp:cNvSpPr/>
      </dsp:nvSpPr>
      <dsp:spPr>
        <a:xfrm>
          <a:off x="3771297" y="937"/>
          <a:ext cx="1142330" cy="571165"/>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hu-HU" sz="1100" kern="1200">
              <a:latin typeface="Times New Roman" pitchFamily="18" charset="0"/>
              <a:cs typeface="Times New Roman" pitchFamily="18" charset="0"/>
            </a:rPr>
            <a:t>Villamos-energiaadó</a:t>
          </a:r>
        </a:p>
      </dsp:txBody>
      <dsp:txXfrm>
        <a:off x="3788026" y="17666"/>
        <a:ext cx="1108872" cy="537707"/>
      </dsp:txXfrm>
    </dsp:sp>
    <dsp:sp modelId="{5E0BA186-D21F-40C8-AF22-2E91386FBCCD}">
      <dsp:nvSpPr>
        <dsp:cNvPr id="0" name=""/>
        <dsp:cNvSpPr/>
      </dsp:nvSpPr>
      <dsp:spPr>
        <a:xfrm>
          <a:off x="3314365" y="927298"/>
          <a:ext cx="456932" cy="32124"/>
        </a:xfrm>
        <a:custGeom>
          <a:avLst/>
          <a:gdLst/>
          <a:ahLst/>
          <a:cxnLst/>
          <a:rect l="0" t="0" r="0" b="0"/>
          <a:pathLst>
            <a:path>
              <a:moveTo>
                <a:pt x="0" y="16062"/>
              </a:moveTo>
              <a:lnTo>
                <a:pt x="456932" y="16062"/>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hu-HU" sz="500" kern="1200">
            <a:latin typeface="Times New Roman" pitchFamily="18" charset="0"/>
            <a:cs typeface="Times New Roman" pitchFamily="18" charset="0"/>
          </a:endParaRPr>
        </a:p>
      </dsp:txBody>
      <dsp:txXfrm>
        <a:off x="3531407" y="931936"/>
        <a:ext cx="22846" cy="22846"/>
      </dsp:txXfrm>
    </dsp:sp>
    <dsp:sp modelId="{798B842B-8A64-42B4-A72C-659D80CE9471}">
      <dsp:nvSpPr>
        <dsp:cNvPr id="0" name=""/>
        <dsp:cNvSpPr/>
      </dsp:nvSpPr>
      <dsp:spPr>
        <a:xfrm>
          <a:off x="3771297" y="657777"/>
          <a:ext cx="1142330" cy="571165"/>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hu-HU" sz="1100" kern="1200">
              <a:latin typeface="Times New Roman" pitchFamily="18" charset="0"/>
              <a:cs typeface="Times New Roman" pitchFamily="18" charset="0"/>
            </a:rPr>
            <a:t>Földgázadó</a:t>
          </a:r>
        </a:p>
      </dsp:txBody>
      <dsp:txXfrm>
        <a:off x="3788026" y="674506"/>
        <a:ext cx="1108872" cy="537707"/>
      </dsp:txXfrm>
    </dsp:sp>
    <dsp:sp modelId="{61FF2824-ED07-43F5-90C7-B24391E94D00}">
      <dsp:nvSpPr>
        <dsp:cNvPr id="0" name=""/>
        <dsp:cNvSpPr/>
      </dsp:nvSpPr>
      <dsp:spPr>
        <a:xfrm rot="3310531">
          <a:off x="3142760" y="1255718"/>
          <a:ext cx="800140" cy="32124"/>
        </a:xfrm>
        <a:custGeom>
          <a:avLst/>
          <a:gdLst/>
          <a:ahLst/>
          <a:cxnLst/>
          <a:rect l="0" t="0" r="0" b="0"/>
          <a:pathLst>
            <a:path>
              <a:moveTo>
                <a:pt x="0" y="16062"/>
              </a:moveTo>
              <a:lnTo>
                <a:pt x="800140" y="16062"/>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hu-HU" sz="500" kern="1200">
            <a:latin typeface="Times New Roman" pitchFamily="18" charset="0"/>
            <a:cs typeface="Times New Roman" pitchFamily="18" charset="0"/>
          </a:endParaRPr>
        </a:p>
      </dsp:txBody>
      <dsp:txXfrm>
        <a:off x="3522827" y="1251776"/>
        <a:ext cx="40007" cy="40007"/>
      </dsp:txXfrm>
    </dsp:sp>
    <dsp:sp modelId="{99D85AED-6C22-495D-8A23-045705226502}">
      <dsp:nvSpPr>
        <dsp:cNvPr id="0" name=""/>
        <dsp:cNvSpPr/>
      </dsp:nvSpPr>
      <dsp:spPr>
        <a:xfrm>
          <a:off x="3771297" y="1314617"/>
          <a:ext cx="1142330" cy="571165"/>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hu-HU" sz="1100" kern="1200">
              <a:latin typeface="Times New Roman" pitchFamily="18" charset="0"/>
              <a:cs typeface="Times New Roman" pitchFamily="18" charset="0"/>
            </a:rPr>
            <a:t>Szénadó</a:t>
          </a:r>
        </a:p>
      </dsp:txBody>
      <dsp:txXfrm>
        <a:off x="3788026" y="1331346"/>
        <a:ext cx="1108872" cy="537707"/>
      </dsp:txXfrm>
    </dsp:sp>
    <dsp:sp modelId="{3F48B920-9EC7-4182-8B05-07BF246F24C9}">
      <dsp:nvSpPr>
        <dsp:cNvPr id="0" name=""/>
        <dsp:cNvSpPr/>
      </dsp:nvSpPr>
      <dsp:spPr>
        <a:xfrm rot="19457599">
          <a:off x="1662211" y="1748347"/>
          <a:ext cx="562713" cy="32124"/>
        </a:xfrm>
        <a:custGeom>
          <a:avLst/>
          <a:gdLst/>
          <a:ahLst/>
          <a:cxnLst/>
          <a:rect l="0" t="0" r="0" b="0"/>
          <a:pathLst>
            <a:path>
              <a:moveTo>
                <a:pt x="0" y="16062"/>
              </a:moveTo>
              <a:lnTo>
                <a:pt x="562713" y="16062"/>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hu-HU" sz="500" kern="1200">
            <a:latin typeface="Times New Roman" pitchFamily="18" charset="0"/>
            <a:cs typeface="Times New Roman" pitchFamily="18" charset="0"/>
          </a:endParaRPr>
        </a:p>
      </dsp:txBody>
      <dsp:txXfrm>
        <a:off x="1929500" y="1750342"/>
        <a:ext cx="28135" cy="28135"/>
      </dsp:txXfrm>
    </dsp:sp>
    <dsp:sp modelId="{4085C3E0-FE38-4320-B53A-E6BDE068FD87}">
      <dsp:nvSpPr>
        <dsp:cNvPr id="0" name=""/>
        <dsp:cNvSpPr/>
      </dsp:nvSpPr>
      <dsp:spPr>
        <a:xfrm>
          <a:off x="2172034" y="1314617"/>
          <a:ext cx="1142330" cy="571165"/>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hu-HU" sz="1100" kern="1200">
              <a:latin typeface="Times New Roman" pitchFamily="18" charset="0"/>
              <a:cs typeface="Times New Roman" pitchFamily="18" charset="0"/>
            </a:rPr>
            <a:t>Szennyezési adók</a:t>
          </a:r>
        </a:p>
      </dsp:txBody>
      <dsp:txXfrm>
        <a:off x="2188763" y="1331346"/>
        <a:ext cx="1108872" cy="537707"/>
      </dsp:txXfrm>
    </dsp:sp>
    <dsp:sp modelId="{611D8780-16FB-41F1-9693-633745B3C3A7}">
      <dsp:nvSpPr>
        <dsp:cNvPr id="0" name=""/>
        <dsp:cNvSpPr/>
      </dsp:nvSpPr>
      <dsp:spPr>
        <a:xfrm rot="2142401">
          <a:off x="1662211" y="2076767"/>
          <a:ext cx="562713" cy="32124"/>
        </a:xfrm>
        <a:custGeom>
          <a:avLst/>
          <a:gdLst/>
          <a:ahLst/>
          <a:cxnLst/>
          <a:rect l="0" t="0" r="0" b="0"/>
          <a:pathLst>
            <a:path>
              <a:moveTo>
                <a:pt x="0" y="16062"/>
              </a:moveTo>
              <a:lnTo>
                <a:pt x="562713" y="16062"/>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hu-HU" sz="500" kern="1200">
            <a:latin typeface="Times New Roman" pitchFamily="18" charset="0"/>
            <a:cs typeface="Times New Roman" pitchFamily="18" charset="0"/>
          </a:endParaRPr>
        </a:p>
      </dsp:txBody>
      <dsp:txXfrm>
        <a:off x="1929500" y="2078762"/>
        <a:ext cx="28135" cy="28135"/>
      </dsp:txXfrm>
    </dsp:sp>
    <dsp:sp modelId="{52AF7C35-246D-47FD-9DC1-CDC04F46E18B}">
      <dsp:nvSpPr>
        <dsp:cNvPr id="0" name=""/>
        <dsp:cNvSpPr/>
      </dsp:nvSpPr>
      <dsp:spPr>
        <a:xfrm>
          <a:off x="2172034" y="1971457"/>
          <a:ext cx="1142330" cy="571165"/>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hu-HU" sz="1100" kern="1200">
              <a:latin typeface="Times New Roman" pitchFamily="18" charset="0"/>
              <a:cs typeface="Times New Roman" pitchFamily="18" charset="0"/>
            </a:rPr>
            <a:t>Erőforrásadók</a:t>
          </a:r>
        </a:p>
      </dsp:txBody>
      <dsp:txXfrm>
        <a:off x="2188763" y="1988186"/>
        <a:ext cx="1108872" cy="537707"/>
      </dsp:txXfrm>
    </dsp:sp>
    <dsp:sp modelId="{C63C8DDD-09D6-4F65-AFE1-C7C18CD85ACE}">
      <dsp:nvSpPr>
        <dsp:cNvPr id="0" name=""/>
        <dsp:cNvSpPr/>
      </dsp:nvSpPr>
      <dsp:spPr>
        <a:xfrm rot="3907178">
          <a:off x="1400539" y="2405187"/>
          <a:ext cx="1086058" cy="32124"/>
        </a:xfrm>
        <a:custGeom>
          <a:avLst/>
          <a:gdLst/>
          <a:ahLst/>
          <a:cxnLst/>
          <a:rect l="0" t="0" r="0" b="0"/>
          <a:pathLst>
            <a:path>
              <a:moveTo>
                <a:pt x="0" y="16062"/>
              </a:moveTo>
              <a:lnTo>
                <a:pt x="1086058" y="16062"/>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hu-HU" sz="500" kern="1200">
            <a:latin typeface="Times New Roman" pitchFamily="18" charset="0"/>
            <a:cs typeface="Times New Roman" pitchFamily="18" charset="0"/>
          </a:endParaRPr>
        </a:p>
      </dsp:txBody>
      <dsp:txXfrm>
        <a:off x="1916417" y="2394098"/>
        <a:ext cx="54302" cy="54302"/>
      </dsp:txXfrm>
    </dsp:sp>
    <dsp:sp modelId="{6139217D-B5B2-481A-8649-C2857512EA8E}">
      <dsp:nvSpPr>
        <dsp:cNvPr id="0" name=""/>
        <dsp:cNvSpPr/>
      </dsp:nvSpPr>
      <dsp:spPr>
        <a:xfrm>
          <a:off x="2172034" y="2628297"/>
          <a:ext cx="1142330" cy="571165"/>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hu-HU" sz="1100" kern="1200">
              <a:latin typeface="Times New Roman" pitchFamily="18" charset="0"/>
              <a:cs typeface="Times New Roman" pitchFamily="18" charset="0"/>
            </a:rPr>
            <a:t>Közlekedési adók</a:t>
          </a:r>
        </a:p>
      </dsp:txBody>
      <dsp:txXfrm>
        <a:off x="2188763" y="2645026"/>
        <a:ext cx="1108872" cy="53770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0.49306</cdr:x>
      <cdr:y>0.27742</cdr:y>
    </cdr:from>
    <cdr:to>
      <cdr:x>0.63194</cdr:x>
      <cdr:y>0.30968</cdr:y>
    </cdr:to>
    <cdr:sp macro="" textlink="">
      <cdr:nvSpPr>
        <cdr:cNvPr id="3" name="Egyenes összekötő 2"/>
        <cdr:cNvSpPr/>
      </cdr:nvSpPr>
      <cdr:spPr>
        <a:xfrm xmlns:a="http://schemas.openxmlformats.org/drawingml/2006/main" flipV="1">
          <a:off x="2705100" y="819150"/>
          <a:ext cx="762000" cy="9525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hu-HU"/>
        </a:p>
      </cdr:txBody>
    </cdr:sp>
  </cdr:relSizeAnchor>
</c:userShape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KER98</b:Tag>
    <b:SourceType>Book</b:SourceType>
    <b:Guid>{54208CED-3A75-4FA9-9D78-985FCEF917A6}</b:Guid>
    <b:Title>KEREKES Sándor</b:Title>
    <b:Year>1998.</b:Year>
    <b:City>Budapest</b:City>
    <b:RefOrder>1</b:RefOrder>
  </b:Source>
  <b:Source xmlns:b="http://schemas.openxmlformats.org/officeDocument/2006/bibliography">
    <b:Tag>KER981</b:Tag>
    <b:SourceType>Book</b:SourceType>
    <b:Guid>{0B5A7F58-0731-4178-9DA9-0496522656CE}</b:Guid>
    <b:Author>
      <b:Author>
        <b:NameList>
          <b:Person>
            <b:Last>Sándor</b:Last>
            <b:First>KEREKES</b:First>
          </b:Person>
        </b:NameList>
      </b:Author>
    </b:Author>
    <b:Title>A környezetgazdaságtan alapjai</b:Title>
    <b:Year>1998.</b:Year>
    <b:City>Budapest</b:City>
    <b:RefOrder>2</b:RefOrder>
  </b:Source>
</b:Sources>
</file>

<file path=customXml/itemProps1.xml><?xml version="1.0" encoding="utf-8"?>
<ds:datastoreItem xmlns:ds="http://schemas.openxmlformats.org/officeDocument/2006/customXml" ds:itemID="{A1F191C3-FD50-4A9F-A96B-85F6871399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9843</Words>
  <Characters>67924</Characters>
  <Application>Microsoft Office Word</Application>
  <DocSecurity>0</DocSecurity>
  <Lines>566</Lines>
  <Paragraphs>155</Paragraphs>
  <ScaleCrop>false</ScaleCrop>
  <HeadingPairs>
    <vt:vector size="2" baseType="variant">
      <vt:variant>
        <vt:lpstr>Cím</vt:lpstr>
      </vt:variant>
      <vt:variant>
        <vt:i4>1</vt:i4>
      </vt:variant>
    </vt:vector>
  </HeadingPairs>
  <TitlesOfParts>
    <vt:vector size="1" baseType="lpstr">
      <vt:lpstr/>
    </vt:vector>
  </TitlesOfParts>
  <Company>WXPEE</Company>
  <LinksUpToDate>false</LinksUpToDate>
  <CharactersWithSpaces>77612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Orsi-Laptop</dc:creator>
  <cp:lastModifiedBy>Rónai Orsolya</cp:lastModifiedBy>
  <cp:revision>2</cp:revision>
  <dcterms:created xsi:type="dcterms:W3CDTF">2013-04-30T15:26:00Z</dcterms:created>
  <dcterms:modified xsi:type="dcterms:W3CDTF">2013-04-30T15:26:00Z</dcterms:modified>
</cp:coreProperties>
</file>