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A07" w:rsidRDefault="00191A07" w:rsidP="00191A07">
      <w:pPr>
        <w:jc w:val="center"/>
        <w:rPr>
          <w:b/>
          <w:sz w:val="28"/>
          <w:szCs w:val="28"/>
        </w:rPr>
      </w:pPr>
      <w:r w:rsidRPr="00191A07">
        <w:rPr>
          <w:b/>
          <w:sz w:val="28"/>
          <w:szCs w:val="28"/>
        </w:rPr>
        <w:t>SMAD 2 és 3 szerepe a gyulladásos bélbetegség patomechanizmusában</w:t>
      </w:r>
    </w:p>
    <w:p w:rsidR="00191A07" w:rsidRDefault="00191A07" w:rsidP="00191A07">
      <w:pPr>
        <w:jc w:val="center"/>
        <w:rPr>
          <w:sz w:val="28"/>
          <w:szCs w:val="28"/>
        </w:rPr>
      </w:pPr>
      <w:bookmarkStart w:id="0" w:name="_GoBack"/>
      <w:bookmarkEnd w:id="0"/>
      <w:r w:rsidRPr="00191A07">
        <w:rPr>
          <w:b/>
          <w:sz w:val="28"/>
          <w:szCs w:val="28"/>
        </w:rPr>
        <w:t xml:space="preserve">Veres-Székely Apor, </w:t>
      </w:r>
      <w:r w:rsidRPr="00191A07">
        <w:rPr>
          <w:sz w:val="28"/>
          <w:szCs w:val="28"/>
        </w:rPr>
        <w:t>III. évf.</w:t>
      </w:r>
    </w:p>
    <w:p w:rsidR="00191A07" w:rsidRPr="00191A07" w:rsidRDefault="00191A07" w:rsidP="00191A07">
      <w:pPr>
        <w:jc w:val="center"/>
        <w:rPr>
          <w:b/>
          <w:sz w:val="28"/>
          <w:szCs w:val="28"/>
        </w:rPr>
      </w:pPr>
    </w:p>
    <w:p w:rsidR="00191A07" w:rsidRDefault="00191A07" w:rsidP="0004291C">
      <w:r w:rsidRPr="00191A07">
        <w:rPr>
          <w:u w:val="single"/>
        </w:rPr>
        <w:t>Témavezető</w:t>
      </w:r>
      <w:r>
        <w:t xml:space="preserve">: </w:t>
      </w:r>
      <w:r w:rsidRPr="00191A07">
        <w:rPr>
          <w:b/>
        </w:rPr>
        <w:t>Dr. Vannay Ádám, PhD</w:t>
      </w:r>
      <w:r>
        <w:t>, laborvezető</w:t>
      </w:r>
    </w:p>
    <w:p w:rsidR="00191A07" w:rsidRDefault="00191A07" w:rsidP="00191A07">
      <w:pPr>
        <w:ind w:left="1134"/>
      </w:pPr>
      <w:r w:rsidRPr="00191A07">
        <w:t xml:space="preserve">Gyermekgyógyászati és </w:t>
      </w:r>
      <w:proofErr w:type="spellStart"/>
      <w:r w:rsidRPr="00191A07">
        <w:t>Nefrológiai</w:t>
      </w:r>
      <w:proofErr w:type="spellEnd"/>
      <w:r w:rsidRPr="00191A07">
        <w:t xml:space="preserve"> Kutatócsoport, Semmelweis Egyetem</w:t>
      </w:r>
      <w:r>
        <w:t xml:space="preserve"> </w:t>
      </w:r>
      <w:r w:rsidRPr="00191A07">
        <w:t>-</w:t>
      </w:r>
      <w:r>
        <w:t xml:space="preserve"> </w:t>
      </w:r>
      <w:r w:rsidRPr="00191A07">
        <w:t xml:space="preserve">Magyar Tudományos Akadémia, Budapest </w:t>
      </w:r>
    </w:p>
    <w:p w:rsidR="00191A07" w:rsidRDefault="00191A07" w:rsidP="0004291C">
      <w:r w:rsidRPr="00191A07">
        <w:rPr>
          <w:u w:val="single"/>
        </w:rPr>
        <w:t>Konzulens:</w:t>
      </w:r>
      <w:r>
        <w:t xml:space="preserve"> </w:t>
      </w:r>
      <w:r w:rsidRPr="00191A07">
        <w:rPr>
          <w:b/>
        </w:rPr>
        <w:t>Szarka András</w:t>
      </w:r>
      <w:r>
        <w:t>, egyetemi docens</w:t>
      </w:r>
    </w:p>
    <w:p w:rsidR="00191A07" w:rsidRDefault="00191A07" w:rsidP="00191A07">
      <w:pPr>
        <w:ind w:firstLine="1134"/>
      </w:pPr>
      <w:r>
        <w:t xml:space="preserve">BME </w:t>
      </w:r>
      <w:r w:rsidRPr="00191A07">
        <w:t xml:space="preserve">Alkalmazott Biotechnológia és </w:t>
      </w:r>
      <w:proofErr w:type="spellStart"/>
      <w:r w:rsidRPr="00191A07">
        <w:t>Élelmiszertudományi</w:t>
      </w:r>
      <w:proofErr w:type="spellEnd"/>
      <w:r w:rsidRPr="00191A07">
        <w:t xml:space="preserve"> Tanszék</w:t>
      </w:r>
    </w:p>
    <w:p w:rsidR="002C0B81" w:rsidRDefault="0004291C" w:rsidP="0004291C">
      <w:r w:rsidRPr="00191A07">
        <w:rPr>
          <w:u w:val="dotted"/>
        </w:rPr>
        <w:t>Bevezetés</w:t>
      </w:r>
      <w:r>
        <w:t>: A gyulladásos bélbetegség (IBD) patomechanizmusában központi szerepet játszik a tumor necrosis factor alfa (</w:t>
      </w:r>
      <w:proofErr w:type="spellStart"/>
      <w:r>
        <w:t>TNF-α</w:t>
      </w:r>
      <w:proofErr w:type="spellEnd"/>
      <w:r>
        <w:t>), ennek jelentőségét emeli ki az IBD-s betegek kezelésére bevezetett anti-TNF-α terápia egyre nagyobb térhódítása is. Az alkalmazott konzervatív kezelések, biológiai terápiák ellenére az IBD-ben szenvedő betegekben gyakran alakul ki fibrózis</w:t>
      </w:r>
      <w:r w:rsidR="002C0B81">
        <w:t>.</w:t>
      </w:r>
    </w:p>
    <w:p w:rsidR="0004291C" w:rsidRDefault="0004291C" w:rsidP="0004291C">
      <w:r w:rsidRPr="00191A07">
        <w:rPr>
          <w:u w:val="dotted"/>
        </w:rPr>
        <w:t>Célkitűzés:</w:t>
      </w:r>
      <w:r>
        <w:t xml:space="preserve"> A </w:t>
      </w:r>
      <w:proofErr w:type="spellStart"/>
      <w:r>
        <w:t>TNF-α</w:t>
      </w:r>
      <w:proofErr w:type="spellEnd"/>
      <w:r>
        <w:t xml:space="preserve"> és a szöveti fibrózis patomechanizmusában központi szereppel bíró SMAD2/3 kapcsolatának vizsgálata IBD-s gyerekek </w:t>
      </w:r>
      <w:proofErr w:type="spellStart"/>
      <w:r>
        <w:t>kolon</w:t>
      </w:r>
      <w:proofErr w:type="spellEnd"/>
      <w:r>
        <w:t xml:space="preserve"> nyálkahártyájában, valamint HT-29 sejtvonalon.</w:t>
      </w:r>
    </w:p>
    <w:p w:rsidR="0004291C" w:rsidRDefault="0004291C" w:rsidP="0004291C">
      <w:r w:rsidRPr="00191A07">
        <w:rPr>
          <w:u w:val="dotted"/>
        </w:rPr>
        <w:t>Beteganyag, módszer</w:t>
      </w:r>
      <w:r>
        <w:t xml:space="preserve">: A SMAD 2/3-foszforilációt Western blot módszerrel vizsgáltuk IBD-s gyermekek gyulladt illetve nem gyulladt (n=15), illetve egészséges gyerekek (n=10) </w:t>
      </w:r>
      <w:proofErr w:type="spellStart"/>
      <w:r>
        <w:t>kolonból</w:t>
      </w:r>
      <w:proofErr w:type="spellEnd"/>
      <w:r>
        <w:t xml:space="preserve"> származó biopsziás mintáin. A SMAD 2/3, ERK 1/2, JNK 1/2 jelátvivő molekulák lokalizációjának meghatározása immunfluoreszcens festéssel történt. Továbbá HT-29 sejtvonalon, áramlási citométerrel vizsgáltuk a </w:t>
      </w:r>
      <w:proofErr w:type="spellStart"/>
      <w:r>
        <w:t>TNF-α</w:t>
      </w:r>
      <w:proofErr w:type="spellEnd"/>
      <w:r>
        <w:t xml:space="preserve"> </w:t>
      </w:r>
      <w:proofErr w:type="spellStart"/>
      <w:r>
        <w:t>citokin-kezelés</w:t>
      </w:r>
      <w:proofErr w:type="spellEnd"/>
      <w:r>
        <w:t xml:space="preserve"> SMAD 2/3 foszforilációjára kifejtett hatását.</w:t>
      </w:r>
    </w:p>
    <w:p w:rsidR="0004291C" w:rsidRDefault="0004291C" w:rsidP="0004291C">
      <w:r w:rsidRPr="00191A07">
        <w:rPr>
          <w:u w:val="dotted"/>
        </w:rPr>
        <w:t>Eredmények:</w:t>
      </w:r>
      <w:r>
        <w:t xml:space="preserve"> Immunfluoreszcens festés során a gyulladt nyálkahártya </w:t>
      </w:r>
      <w:proofErr w:type="spellStart"/>
      <w:r w:rsidR="002C0B81">
        <w:t>entreocita</w:t>
      </w:r>
      <w:proofErr w:type="spellEnd"/>
      <w:r w:rsidR="002C0B81">
        <w:t xml:space="preserve"> </w:t>
      </w:r>
      <w:r>
        <w:t xml:space="preserve">sejtjeiben erőteljes SMAD 2/3 foszforiláció mutatkozott. Western blot analízis során a SMAD 3 foszforilációja szignifikáns emelkedést mutatott a gyulladt nyálkahártyában, összehasonlítva a nem gyulladt szakasszal és az egészséges kontroll csoporttal. Áramlási </w:t>
      </w:r>
      <w:proofErr w:type="spellStart"/>
      <w:r>
        <w:t>citometriás</w:t>
      </w:r>
      <w:proofErr w:type="spellEnd"/>
      <w:r>
        <w:t xml:space="preserve"> mérések során a </w:t>
      </w:r>
      <w:proofErr w:type="spellStart"/>
      <w:r>
        <w:t>TNF-α-kezelt</w:t>
      </w:r>
      <w:proofErr w:type="spellEnd"/>
      <w:r>
        <w:t xml:space="preserve"> HT-29 sejtekben a foszforiláció szignifikánsan emelkedett a kezeletlen sejtcsoporthoz képest.</w:t>
      </w:r>
    </w:p>
    <w:p w:rsidR="006867E8" w:rsidRDefault="0004291C" w:rsidP="0004291C">
      <w:r w:rsidRPr="00191A07">
        <w:rPr>
          <w:u w:val="dotted"/>
        </w:rPr>
        <w:t>Következtetés:</w:t>
      </w:r>
      <w:r>
        <w:t xml:space="preserve"> Az IBD-ben szenvedő gyerekek bélnyálkahártyájában a </w:t>
      </w:r>
      <w:proofErr w:type="spellStart"/>
      <w:r>
        <w:t>TNF-α</w:t>
      </w:r>
      <w:proofErr w:type="spellEnd"/>
      <w:r>
        <w:t xml:space="preserve"> szerepet játszhat a SMAD 3 aktiváció szabályozásában. A SMAD 2/3 jelátvivő rendszer, egyéb szervekhez hasonlóan az intesztinális fibrózis </w:t>
      </w:r>
      <w:proofErr w:type="spellStart"/>
      <w:r>
        <w:t>patogenezisében</w:t>
      </w:r>
      <w:proofErr w:type="spellEnd"/>
      <w:r>
        <w:t xml:space="preserve"> is szerepet játszhat.</w:t>
      </w:r>
    </w:p>
    <w:p w:rsidR="002C0B81" w:rsidRDefault="002C0B81" w:rsidP="0004291C"/>
    <w:sectPr w:rsidR="002C0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E8"/>
    <w:rsid w:val="0004291C"/>
    <w:rsid w:val="00191A07"/>
    <w:rsid w:val="002C0B81"/>
    <w:rsid w:val="00375F2B"/>
    <w:rsid w:val="0054455B"/>
    <w:rsid w:val="006612E8"/>
    <w:rsid w:val="0068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Apor</dc:creator>
  <cp:lastModifiedBy>Apor</cp:lastModifiedBy>
  <cp:revision>2</cp:revision>
  <dcterms:created xsi:type="dcterms:W3CDTF">2012-10-14T21:10:00Z</dcterms:created>
  <dcterms:modified xsi:type="dcterms:W3CDTF">2012-10-14T21:10:00Z</dcterms:modified>
</cp:coreProperties>
</file>