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before="24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 </w:t>
      </w:r>
      <w:r w:rsidDel="00000000" w:rsidR="00000000" w:rsidRPr="00000000">
        <w:rPr>
          <w:rFonts w:ascii="Times New Roman" w:cs="Times New Roman" w:eastAsia="Times New Roman" w:hAnsi="Times New Roman"/>
          <w:b w:val="1"/>
          <w:i w:val="1"/>
          <w:sz w:val="24"/>
          <w:szCs w:val="24"/>
          <w:rtl w:val="0"/>
        </w:rPr>
        <w:t xml:space="preserve">vagy </w:t>
      </w:r>
      <w:r w:rsidDel="00000000" w:rsidR="00000000" w:rsidRPr="00000000">
        <w:rPr>
          <w:rFonts w:ascii="Times New Roman" w:cs="Times New Roman" w:eastAsia="Times New Roman" w:hAnsi="Times New Roman"/>
          <w:b w:val="1"/>
          <w:sz w:val="24"/>
          <w:szCs w:val="24"/>
          <w:rtl w:val="0"/>
        </w:rPr>
        <w:t xml:space="preserve">kötőszó korpuszvezérelt pragmatikai vizsgálata irodalmi szövegekben</w:t>
      </w:r>
    </w:p>
    <w:p w:rsidR="00000000" w:rsidDel="00000000" w:rsidP="00000000" w:rsidRDefault="00000000" w:rsidRPr="00000000" w14:paraId="00000002">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Kutatásunk célja annak bemutatása, hogy miben különbözik a magyar kötőszói </w:t>
      </w:r>
      <w:r w:rsidDel="00000000" w:rsidR="00000000" w:rsidRPr="00000000">
        <w:rPr>
          <w:rFonts w:ascii="Times New Roman" w:cs="Times New Roman" w:eastAsia="Times New Roman" w:hAnsi="Times New Roman"/>
          <w:i w:val="1"/>
          <w:sz w:val="24"/>
          <w:szCs w:val="24"/>
          <w:rtl w:val="0"/>
        </w:rPr>
        <w:t xml:space="preserve">vagy</w:t>
      </w:r>
      <w:r w:rsidDel="00000000" w:rsidR="00000000" w:rsidRPr="00000000">
        <w:rPr>
          <w:rFonts w:ascii="Times New Roman" w:cs="Times New Roman" w:eastAsia="Times New Roman" w:hAnsi="Times New Roman"/>
          <w:sz w:val="24"/>
          <w:szCs w:val="24"/>
          <w:rtl w:val="0"/>
        </w:rPr>
        <w:t xml:space="preserve"> használata a különböző nyelvi regiszterekben, közelebbről a mindennapi kommunikációban és az irodalmi nyelvben. Ariel–Mauri (2018) és Ariel (2020) a beszélt nyelvi amerikai angol Santa Barbara Corpusban vizsgálta a kötőszói </w:t>
      </w:r>
      <w:r w:rsidDel="00000000" w:rsidR="00000000" w:rsidRPr="00000000">
        <w:rPr>
          <w:rFonts w:ascii="Times New Roman" w:cs="Times New Roman" w:eastAsia="Times New Roman" w:hAnsi="Times New Roman"/>
          <w:i w:val="1"/>
          <w:sz w:val="24"/>
          <w:szCs w:val="24"/>
          <w:rtl w:val="0"/>
        </w:rPr>
        <w:t xml:space="preserve">vagy</w:t>
      </w:r>
      <w:r w:rsidDel="00000000" w:rsidR="00000000" w:rsidRPr="00000000">
        <w:rPr>
          <w:rFonts w:ascii="Times New Roman" w:cs="Times New Roman" w:eastAsia="Times New Roman" w:hAnsi="Times New Roman"/>
          <w:sz w:val="24"/>
          <w:szCs w:val="24"/>
          <w:rtl w:val="0"/>
        </w:rPr>
        <w:t xml:space="preserve"> funkcióit. Legfőbb megállapításuk az, hogy a </w:t>
      </w:r>
      <w:r w:rsidDel="00000000" w:rsidR="00000000" w:rsidRPr="00000000">
        <w:rPr>
          <w:rFonts w:ascii="Times New Roman" w:cs="Times New Roman" w:eastAsia="Times New Roman" w:hAnsi="Times New Roman"/>
          <w:i w:val="1"/>
          <w:sz w:val="24"/>
          <w:szCs w:val="24"/>
          <w:rtl w:val="0"/>
        </w:rPr>
        <w:t xml:space="preserve">vagy</w:t>
      </w:r>
      <w:r w:rsidDel="00000000" w:rsidR="00000000" w:rsidRPr="00000000">
        <w:rPr>
          <w:rFonts w:ascii="Times New Roman" w:cs="Times New Roman" w:eastAsia="Times New Roman" w:hAnsi="Times New Roman"/>
          <w:sz w:val="24"/>
          <w:szCs w:val="24"/>
          <w:rtl w:val="0"/>
        </w:rPr>
        <w:t xml:space="preserve">-ot a beszélők ritkán használják a hagyományos logikai értelemben, a </w:t>
      </w:r>
      <w:r w:rsidDel="00000000" w:rsidR="00000000" w:rsidRPr="00000000">
        <w:rPr>
          <w:rFonts w:ascii="Times New Roman" w:cs="Times New Roman" w:eastAsia="Times New Roman" w:hAnsi="Times New Roman"/>
          <w:i w:val="1"/>
          <w:sz w:val="24"/>
          <w:szCs w:val="24"/>
          <w:rtl w:val="0"/>
        </w:rPr>
        <w:t xml:space="preserve">vagy </w:t>
      </w:r>
      <w:r w:rsidDel="00000000" w:rsidR="00000000" w:rsidRPr="00000000">
        <w:rPr>
          <w:rFonts w:ascii="Times New Roman" w:cs="Times New Roman" w:eastAsia="Times New Roman" w:hAnsi="Times New Roman"/>
          <w:sz w:val="24"/>
          <w:szCs w:val="24"/>
          <w:rtl w:val="0"/>
        </w:rPr>
        <w:t xml:space="preserve">által összekapcsolt alternatívák gyakran nem rendelkeznek eltérő kontextuális értelmezésekkel, és a leggyakoribb funkciója a </w:t>
      </w:r>
      <w:r w:rsidDel="00000000" w:rsidR="00000000" w:rsidRPr="00000000">
        <w:rPr>
          <w:rFonts w:ascii="Times New Roman" w:cs="Times New Roman" w:eastAsia="Times New Roman" w:hAnsi="Times New Roman"/>
          <w:i w:val="1"/>
          <w:sz w:val="24"/>
          <w:szCs w:val="24"/>
          <w:rtl w:val="0"/>
        </w:rPr>
        <w:t xml:space="preserve">vagy</w:t>
      </w:r>
      <w:r w:rsidDel="00000000" w:rsidR="00000000" w:rsidRPr="00000000">
        <w:rPr>
          <w:rFonts w:ascii="Times New Roman" w:cs="Times New Roman" w:eastAsia="Times New Roman" w:hAnsi="Times New Roman"/>
          <w:sz w:val="24"/>
          <w:szCs w:val="24"/>
          <w:rtl w:val="0"/>
        </w:rPr>
        <w:t xml:space="preserve">-nak egy ún. „fölöttes kategória” reprezentálása (Higher Level Category = HLC), ahol az alternatívák nem hoznak létre különálló diskurzus entitásokat, lásd (1).</w:t>
      </w:r>
    </w:p>
    <w:p w:rsidR="00000000" w:rsidDel="00000000" w:rsidP="00000000" w:rsidRDefault="00000000" w:rsidRPr="00000000" w14:paraId="00000003">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i w:val="1"/>
          <w:sz w:val="24"/>
          <w:szCs w:val="24"/>
          <w:rtl w:val="0"/>
        </w:rPr>
        <w:t xml:space="preserve">Ki volt a király vagy a királynő?</w:t>
      </w:r>
      <w:r w:rsidDel="00000000" w:rsidR="00000000" w:rsidRPr="00000000">
        <w:rPr>
          <w:rFonts w:ascii="Times New Roman" w:cs="Times New Roman" w:eastAsia="Times New Roman" w:hAnsi="Times New Roman"/>
          <w:sz w:val="24"/>
          <w:szCs w:val="24"/>
          <w:rtl w:val="0"/>
        </w:rPr>
        <w:t xml:space="preserve"> HLC = ‘uralkodó’ (Ariel, 2020)</w:t>
      </w:r>
    </w:p>
    <w:p w:rsidR="00000000" w:rsidDel="00000000" w:rsidP="00000000" w:rsidRDefault="00000000" w:rsidRPr="00000000" w14:paraId="00000004">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magyar kötőszói </w:t>
      </w:r>
      <w:r w:rsidDel="00000000" w:rsidR="00000000" w:rsidRPr="00000000">
        <w:rPr>
          <w:rFonts w:ascii="Times New Roman" w:cs="Times New Roman" w:eastAsia="Times New Roman" w:hAnsi="Times New Roman"/>
          <w:i w:val="1"/>
          <w:sz w:val="24"/>
          <w:szCs w:val="24"/>
          <w:rtl w:val="0"/>
        </w:rPr>
        <w:t xml:space="preserve">vagy </w:t>
      </w:r>
      <w:r w:rsidDel="00000000" w:rsidR="00000000" w:rsidRPr="00000000">
        <w:rPr>
          <w:rFonts w:ascii="Times New Roman" w:cs="Times New Roman" w:eastAsia="Times New Roman" w:hAnsi="Times New Roman"/>
          <w:sz w:val="24"/>
          <w:szCs w:val="24"/>
          <w:rtl w:val="0"/>
        </w:rPr>
        <w:t xml:space="preserve">leírására Viszket–Kárpáti–Kleiber (2021) Ariel (2020) rendszerét adaptálta, és 250 véletlenszerű példát vizsgált az MNSZ2 (Magyar Nemzeti Korpusz) személyi alkorpuszából. Eredményeik alátámasztották Ariel (2020) fent említett megállapításait, bár néhány pontosítást javasoltak, például a prominencia figyelembe vételét a kétértelmű </w:t>
      </w:r>
      <w:r w:rsidDel="00000000" w:rsidR="00000000" w:rsidRPr="00000000">
        <w:rPr>
          <w:rFonts w:ascii="Times New Roman" w:cs="Times New Roman" w:eastAsia="Times New Roman" w:hAnsi="Times New Roman"/>
          <w:i w:val="1"/>
          <w:sz w:val="24"/>
          <w:szCs w:val="24"/>
          <w:rtl w:val="0"/>
        </w:rPr>
        <w:t xml:space="preserve">vagy</w:t>
      </w:r>
      <w:r w:rsidDel="00000000" w:rsidR="00000000" w:rsidRPr="00000000">
        <w:rPr>
          <w:rFonts w:ascii="Times New Roman" w:cs="Times New Roman" w:eastAsia="Times New Roman" w:hAnsi="Times New Roman"/>
          <w:sz w:val="24"/>
          <w:szCs w:val="24"/>
          <w:rtl w:val="0"/>
        </w:rPr>
        <w:t xml:space="preserve">-ok kategorizálásakor. Azt is megállapították, hogy egyes </w:t>
      </w:r>
      <w:r w:rsidDel="00000000" w:rsidR="00000000" w:rsidRPr="00000000">
        <w:rPr>
          <w:rFonts w:ascii="Times New Roman" w:cs="Times New Roman" w:eastAsia="Times New Roman" w:hAnsi="Times New Roman"/>
          <w:i w:val="1"/>
          <w:sz w:val="24"/>
          <w:szCs w:val="24"/>
          <w:rtl w:val="0"/>
        </w:rPr>
        <w:t xml:space="preserve">vagy </w:t>
      </w:r>
      <w:r w:rsidDel="00000000" w:rsidR="00000000" w:rsidRPr="00000000">
        <w:rPr>
          <w:rFonts w:ascii="Times New Roman" w:cs="Times New Roman" w:eastAsia="Times New Roman" w:hAnsi="Times New Roman"/>
          <w:sz w:val="24"/>
          <w:szCs w:val="24"/>
          <w:rtl w:val="0"/>
        </w:rPr>
        <w:t xml:space="preserve">konstrukciók sok esetben csak retorikai funkciót töltenek be, ahol az alternatívák nem valós lehetőségek, funkciójuk a fokozás vagy túlzás kifejezése.</w:t>
      </w:r>
    </w:p>
    <w:p w:rsidR="00000000" w:rsidDel="00000000" w:rsidP="00000000" w:rsidRDefault="00000000" w:rsidRPr="00000000" w14:paraId="00000005">
      <w:pPr>
        <w:spacing w:before="24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Mindkét kutatás informális szövegeket: beszélt nyelvet, illetve személyes alkorpuszt vizsgált, így nem meglepő, hogy a kategóriák gyakoriságát tekintve hasonló eredményre jutottak. Ebben az előadásban az a célunk, hogy megmutassuk a különbséget a beszélt vagy informális írott nyelv, valamint az irodalmi nyelv </w:t>
      </w:r>
      <w:r w:rsidDel="00000000" w:rsidR="00000000" w:rsidRPr="00000000">
        <w:rPr>
          <w:rFonts w:ascii="Times New Roman" w:cs="Times New Roman" w:eastAsia="Times New Roman" w:hAnsi="Times New Roman"/>
          <w:i w:val="1"/>
          <w:sz w:val="24"/>
          <w:szCs w:val="24"/>
          <w:rtl w:val="0"/>
        </w:rPr>
        <w:t xml:space="preserve">vagy</w:t>
      </w:r>
      <w:r w:rsidDel="00000000" w:rsidR="00000000" w:rsidRPr="00000000">
        <w:rPr>
          <w:rFonts w:ascii="Times New Roman" w:cs="Times New Roman" w:eastAsia="Times New Roman" w:hAnsi="Times New Roman"/>
          <w:sz w:val="24"/>
          <w:szCs w:val="24"/>
          <w:rtl w:val="0"/>
        </w:rPr>
        <w:t xml:space="preserve">-használata között. Először József Attila költeményeiben vizsgáltuk a </w:t>
      </w:r>
      <w:r w:rsidDel="00000000" w:rsidR="00000000" w:rsidRPr="00000000">
        <w:rPr>
          <w:rFonts w:ascii="Times New Roman" w:cs="Times New Roman" w:eastAsia="Times New Roman" w:hAnsi="Times New Roman"/>
          <w:i w:val="1"/>
          <w:sz w:val="24"/>
          <w:szCs w:val="24"/>
          <w:rtl w:val="0"/>
        </w:rPr>
        <w:t xml:space="preserve">vagy </w:t>
      </w:r>
      <w:r w:rsidDel="00000000" w:rsidR="00000000" w:rsidRPr="00000000">
        <w:rPr>
          <w:rFonts w:ascii="Times New Roman" w:cs="Times New Roman" w:eastAsia="Times New Roman" w:hAnsi="Times New Roman"/>
          <w:sz w:val="24"/>
          <w:szCs w:val="24"/>
          <w:rtl w:val="0"/>
        </w:rPr>
        <w:t xml:space="preserve">előfordulásait, utána a létrejött tapasztalatok alapján a korpuszunkat kibővítettük további hat alkotó műveivel. Többek között azt találtuk, hogy (i) a hagyományos exkluzív és inkluzív értelmezés itt sincs jelen; (ii) a HLC-nek nem a beszélt nyelvben gyakori szemantikai használata a jellemző, hanem sokkal inkább pragmatikai funkciója van: szinte minden </w:t>
      </w:r>
      <w:r w:rsidDel="00000000" w:rsidR="00000000" w:rsidRPr="00000000">
        <w:rPr>
          <w:rFonts w:ascii="Times New Roman" w:cs="Times New Roman" w:eastAsia="Times New Roman" w:hAnsi="Times New Roman"/>
          <w:i w:val="1"/>
          <w:sz w:val="24"/>
          <w:szCs w:val="24"/>
          <w:rtl w:val="0"/>
        </w:rPr>
        <w:t xml:space="preserve">vagy </w:t>
      </w:r>
      <w:r w:rsidDel="00000000" w:rsidR="00000000" w:rsidRPr="00000000">
        <w:rPr>
          <w:rFonts w:ascii="Times New Roman" w:cs="Times New Roman" w:eastAsia="Times New Roman" w:hAnsi="Times New Roman"/>
          <w:sz w:val="24"/>
          <w:szCs w:val="24"/>
          <w:rtl w:val="0"/>
        </w:rPr>
        <w:t xml:space="preserve">előfordulás tekinthető HLC-nek, leginkább azzal parafrazálhatóan, hogy ‘talán’. A verses és prózai műveket is tartalmazó kutatói korpuszunk megközelítőleg félmillió tokent és köztük közel 500 kategorizált </w:t>
      </w:r>
      <w:r w:rsidDel="00000000" w:rsidR="00000000" w:rsidRPr="00000000">
        <w:rPr>
          <w:rFonts w:ascii="Times New Roman" w:cs="Times New Roman" w:eastAsia="Times New Roman" w:hAnsi="Times New Roman"/>
          <w:i w:val="1"/>
          <w:sz w:val="24"/>
          <w:szCs w:val="24"/>
          <w:rtl w:val="0"/>
        </w:rPr>
        <w:t xml:space="preserve">vagy</w:t>
      </w:r>
      <w:r w:rsidDel="00000000" w:rsidR="00000000" w:rsidRPr="00000000">
        <w:rPr>
          <w:rFonts w:ascii="Times New Roman" w:cs="Times New Roman" w:eastAsia="Times New Roman" w:hAnsi="Times New Roman"/>
          <w:sz w:val="24"/>
          <w:szCs w:val="24"/>
          <w:rtl w:val="0"/>
        </w:rPr>
        <w:t xml:space="preserve">-ot tartalmaz. Ez nem elég nagy minta ahhoz, hogy végleges általánosításokat fogalmazhassunk meg az irodalmi nyelv </w:t>
      </w:r>
      <w:r w:rsidDel="00000000" w:rsidR="00000000" w:rsidRPr="00000000">
        <w:rPr>
          <w:rFonts w:ascii="Times New Roman" w:cs="Times New Roman" w:eastAsia="Times New Roman" w:hAnsi="Times New Roman"/>
          <w:i w:val="1"/>
          <w:sz w:val="24"/>
          <w:szCs w:val="24"/>
          <w:rtl w:val="0"/>
        </w:rPr>
        <w:t xml:space="preserve">vagy</w:t>
      </w:r>
      <w:r w:rsidDel="00000000" w:rsidR="00000000" w:rsidRPr="00000000">
        <w:rPr>
          <w:rFonts w:ascii="Times New Roman" w:cs="Times New Roman" w:eastAsia="Times New Roman" w:hAnsi="Times New Roman"/>
          <w:sz w:val="24"/>
          <w:szCs w:val="24"/>
          <w:rtl w:val="0"/>
        </w:rPr>
        <w:t xml:space="preserve">-használatáról, de arra alkalmasnak ítéljük a korpuszunkat, hogy a </w:t>
      </w:r>
      <w:r w:rsidDel="00000000" w:rsidR="00000000" w:rsidRPr="00000000">
        <w:rPr>
          <w:rFonts w:ascii="Times New Roman" w:cs="Times New Roman" w:eastAsia="Times New Roman" w:hAnsi="Times New Roman"/>
          <w:i w:val="1"/>
          <w:sz w:val="24"/>
          <w:szCs w:val="24"/>
          <w:rtl w:val="0"/>
        </w:rPr>
        <w:t xml:space="preserve">vagy </w:t>
      </w:r>
      <w:r w:rsidDel="00000000" w:rsidR="00000000" w:rsidRPr="00000000">
        <w:rPr>
          <w:rFonts w:ascii="Times New Roman" w:cs="Times New Roman" w:eastAsia="Times New Roman" w:hAnsi="Times New Roman"/>
          <w:sz w:val="24"/>
          <w:szCs w:val="24"/>
          <w:rtl w:val="0"/>
        </w:rPr>
        <w:t xml:space="preserve">kategorizálására vonatkozó ismereteinket pontosítsuk, a kritériumokat pedig a korábbiakhoz képest is egyértelműbben és formálisabban fogalmazzuk meg.</w:t>
      </w:r>
    </w:p>
    <w:p w:rsidR="00000000" w:rsidDel="00000000" w:rsidP="00000000" w:rsidRDefault="00000000" w:rsidRPr="00000000" w14:paraId="00000006">
      <w:pPr>
        <w:spacing w:before="12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Hivatkozások</w:t>
      </w:r>
    </w:p>
    <w:p w:rsidR="00000000" w:rsidDel="00000000" w:rsidP="00000000" w:rsidRDefault="00000000" w:rsidRPr="00000000" w14:paraId="00000007">
      <w:pPr>
        <w:spacing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Ariel–Mauri (2018): Why use </w:t>
      </w:r>
      <w:r w:rsidDel="00000000" w:rsidR="00000000" w:rsidRPr="00000000">
        <w:rPr>
          <w:rFonts w:ascii="Times New Roman" w:cs="Times New Roman" w:eastAsia="Times New Roman" w:hAnsi="Times New Roman"/>
          <w:i w:val="1"/>
          <w:sz w:val="24"/>
          <w:szCs w:val="24"/>
          <w:rtl w:val="0"/>
        </w:rPr>
        <w:t xml:space="preserve">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Linguistics </w:t>
      </w:r>
      <w:r w:rsidDel="00000000" w:rsidR="00000000" w:rsidRPr="00000000">
        <w:rPr>
          <w:rFonts w:ascii="Times New Roman" w:cs="Times New Roman" w:eastAsia="Times New Roman" w:hAnsi="Times New Roman"/>
          <w:sz w:val="24"/>
          <w:szCs w:val="24"/>
          <w:rtl w:val="0"/>
        </w:rPr>
        <w:t xml:space="preserve">56: 5. 939–994.</w:t>
      </w:r>
    </w:p>
    <w:p w:rsidR="00000000" w:rsidDel="00000000" w:rsidP="00000000" w:rsidRDefault="00000000" w:rsidRPr="00000000" w14:paraId="00000008">
      <w:pPr>
        <w:spacing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Ariel (2020): </w:t>
      </w:r>
      <w:r w:rsidDel="00000000" w:rsidR="00000000" w:rsidRPr="00000000">
        <w:rPr>
          <w:rFonts w:ascii="Times New Roman" w:cs="Times New Roman" w:eastAsia="Times New Roman" w:hAnsi="Times New Roman"/>
          <w:i w:val="1"/>
          <w:sz w:val="24"/>
          <w:szCs w:val="24"/>
          <w:rtl w:val="0"/>
        </w:rPr>
        <w:t xml:space="preserve">Or</w:t>
      </w:r>
      <w:r w:rsidDel="00000000" w:rsidR="00000000" w:rsidRPr="00000000">
        <w:rPr>
          <w:rFonts w:ascii="Times New Roman" w:cs="Times New Roman" w:eastAsia="Times New Roman" w:hAnsi="Times New Roman"/>
          <w:sz w:val="24"/>
          <w:szCs w:val="24"/>
          <w:rtl w:val="0"/>
        </w:rPr>
        <w:t xml:space="preserve"> constructions, argumentative direction and disappearing ‘alternativity’</w:t>
      </w:r>
      <w:r w:rsidDel="00000000" w:rsidR="00000000" w:rsidRPr="00000000">
        <w:rPr>
          <w:rFonts w:ascii="Times New Roman" w:cs="Times New Roman" w:eastAsia="Times New Roman" w:hAnsi="Times New Roman"/>
          <w:i w:val="1"/>
          <w:sz w:val="24"/>
          <w:szCs w:val="24"/>
          <w:rtl w:val="0"/>
        </w:rPr>
        <w:t xml:space="preserve">. Language Sciences</w:t>
      </w:r>
      <w:r w:rsidDel="00000000" w:rsidR="00000000" w:rsidRPr="00000000">
        <w:rPr>
          <w:rFonts w:ascii="Times New Roman" w:cs="Times New Roman" w:eastAsia="Times New Roman" w:hAnsi="Times New Roman"/>
          <w:sz w:val="24"/>
          <w:szCs w:val="24"/>
          <w:rtl w:val="0"/>
        </w:rPr>
        <w:t xml:space="preserve"> 81.</w:t>
      </w:r>
    </w:p>
    <w:p w:rsidR="00000000" w:rsidDel="00000000" w:rsidP="00000000" w:rsidRDefault="00000000" w:rsidRPr="00000000" w14:paraId="00000009">
      <w:pPr>
        <w:spacing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Viszket–Kárpáti–Kleiber (2021): </w:t>
      </w:r>
      <w:r w:rsidDel="00000000" w:rsidR="00000000" w:rsidRPr="00000000">
        <w:rPr>
          <w:rFonts w:ascii="Times New Roman" w:cs="Times New Roman" w:eastAsia="Times New Roman" w:hAnsi="Times New Roman"/>
          <w:i w:val="1"/>
          <w:sz w:val="24"/>
          <w:szCs w:val="24"/>
          <w:rtl w:val="0"/>
        </w:rPr>
        <w:t xml:space="preserve">Why use Hungarian </w:t>
      </w:r>
      <w:r w:rsidDel="00000000" w:rsidR="00000000" w:rsidRPr="00000000">
        <w:rPr>
          <w:rFonts w:ascii="Times New Roman" w:cs="Times New Roman" w:eastAsia="Times New Roman" w:hAnsi="Times New Roman"/>
          <w:sz w:val="24"/>
          <w:szCs w:val="24"/>
          <w:rtl w:val="0"/>
        </w:rPr>
        <w:t xml:space="preserve">or</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Presentation at LingBaW 2021.</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l" w:default="1">
    <w:name w:val="Normal"/>
    <w:qFormat w:val="1"/>
  </w:style>
  <w:style w:type="paragraph" w:styleId="Cmsor1">
    <w:name w:val="heading 1"/>
    <w:basedOn w:val="Norml"/>
    <w:next w:val="Norml"/>
    <w:uiPriority w:val="9"/>
    <w:qFormat w:val="1"/>
    <w:pPr>
      <w:keepNext w:val="1"/>
      <w:keepLines w:val="1"/>
      <w:spacing w:after="120" w:before="400"/>
      <w:outlineLvl w:val="0"/>
    </w:pPr>
    <w:rPr>
      <w:sz w:val="40"/>
      <w:szCs w:val="40"/>
    </w:rPr>
  </w:style>
  <w:style w:type="paragraph" w:styleId="Cmsor2">
    <w:name w:val="heading 2"/>
    <w:basedOn w:val="Norml"/>
    <w:next w:val="Norml"/>
    <w:uiPriority w:val="9"/>
    <w:semiHidden w:val="1"/>
    <w:unhideWhenUsed w:val="1"/>
    <w:qFormat w:val="1"/>
    <w:pPr>
      <w:keepNext w:val="1"/>
      <w:keepLines w:val="1"/>
      <w:spacing w:after="120" w:before="360"/>
      <w:outlineLvl w:val="1"/>
    </w:pPr>
    <w:rPr>
      <w:sz w:val="32"/>
      <w:szCs w:val="32"/>
    </w:rPr>
  </w:style>
  <w:style w:type="paragraph" w:styleId="Cmsor3">
    <w:name w:val="heading 3"/>
    <w:basedOn w:val="Norml"/>
    <w:next w:val="Norml"/>
    <w:uiPriority w:val="9"/>
    <w:semiHidden w:val="1"/>
    <w:unhideWhenUsed w:val="1"/>
    <w:qFormat w:val="1"/>
    <w:pPr>
      <w:keepNext w:val="1"/>
      <w:keepLines w:val="1"/>
      <w:spacing w:after="80" w:before="320"/>
      <w:outlineLvl w:val="2"/>
    </w:pPr>
    <w:rPr>
      <w:color w:val="434343"/>
      <w:sz w:val="28"/>
      <w:szCs w:val="28"/>
    </w:rPr>
  </w:style>
  <w:style w:type="paragraph" w:styleId="Cmsor4">
    <w:name w:val="heading 4"/>
    <w:basedOn w:val="Norml"/>
    <w:next w:val="Norml"/>
    <w:uiPriority w:val="9"/>
    <w:semiHidden w:val="1"/>
    <w:unhideWhenUsed w:val="1"/>
    <w:qFormat w:val="1"/>
    <w:pPr>
      <w:keepNext w:val="1"/>
      <w:keepLines w:val="1"/>
      <w:spacing w:after="80" w:before="280"/>
      <w:outlineLvl w:val="3"/>
    </w:pPr>
    <w:rPr>
      <w:color w:val="666666"/>
      <w:sz w:val="24"/>
      <w:szCs w:val="24"/>
    </w:rPr>
  </w:style>
  <w:style w:type="paragraph" w:styleId="Cmsor5">
    <w:name w:val="heading 5"/>
    <w:basedOn w:val="Norml"/>
    <w:next w:val="Norml"/>
    <w:uiPriority w:val="9"/>
    <w:semiHidden w:val="1"/>
    <w:unhideWhenUsed w:val="1"/>
    <w:qFormat w:val="1"/>
    <w:pPr>
      <w:keepNext w:val="1"/>
      <w:keepLines w:val="1"/>
      <w:spacing w:after="80" w:before="240"/>
      <w:outlineLvl w:val="4"/>
    </w:pPr>
    <w:rPr>
      <w:color w:val="666666"/>
    </w:rPr>
  </w:style>
  <w:style w:type="paragraph" w:styleId="Cmsor6">
    <w:name w:val="heading 6"/>
    <w:basedOn w:val="Norml"/>
    <w:next w:val="Norml"/>
    <w:uiPriority w:val="9"/>
    <w:semiHidden w:val="1"/>
    <w:unhideWhenUsed w:val="1"/>
    <w:qFormat w:val="1"/>
    <w:pPr>
      <w:keepNext w:val="1"/>
      <w:keepLines w:val="1"/>
      <w:spacing w:after="80" w:before="240"/>
      <w:outlineLvl w:val="5"/>
    </w:pPr>
    <w:rPr>
      <w:i w:val="1"/>
      <w:color w:val="666666"/>
    </w:rPr>
  </w:style>
  <w:style w:type="character" w:styleId="Bekezdsalapbettpusa" w:default="1">
    <w:name w:val="Default Paragraph Font"/>
    <w:uiPriority w:val="1"/>
    <w:semiHidden w:val="1"/>
    <w:unhideWhenUsed w:val="1"/>
  </w:style>
  <w:style w:type="table" w:styleId="Normltblzat" w:default="1">
    <w:name w:val="Normal Table"/>
    <w:uiPriority w:val="99"/>
    <w:semiHidden w:val="1"/>
    <w:unhideWhenUsed w:val="1"/>
    <w:tblPr>
      <w:tblInd w:w="0.0" w:type="dxa"/>
      <w:tblCellMar>
        <w:top w:w="0.0" w:type="dxa"/>
        <w:left w:w="108.0" w:type="dxa"/>
        <w:bottom w:w="0.0" w:type="dxa"/>
        <w:right w:w="108.0" w:type="dxa"/>
      </w:tblCellMar>
    </w:tblPr>
  </w:style>
  <w:style w:type="numbering" w:styleId="N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Cm">
    <w:name w:val="Title"/>
    <w:basedOn w:val="Norml"/>
    <w:next w:val="Norml"/>
    <w:uiPriority w:val="10"/>
    <w:qFormat w:val="1"/>
    <w:pPr>
      <w:keepNext w:val="1"/>
      <w:keepLines w:val="1"/>
      <w:spacing w:after="60"/>
    </w:pPr>
    <w:rPr>
      <w:sz w:val="52"/>
      <w:szCs w:val="52"/>
    </w:rPr>
  </w:style>
  <w:style w:type="paragraph" w:styleId="Alcm">
    <w:name w:val="Subtitle"/>
    <w:basedOn w:val="Norml"/>
    <w:next w:val="Norml"/>
    <w:uiPriority w:val="11"/>
    <w:qFormat w:val="1"/>
    <w:pPr>
      <w:keepNext w:val="1"/>
      <w:keepLines w:val="1"/>
      <w:spacing w:after="320"/>
    </w:pPr>
    <w:rPr>
      <w:color w:val="666666"/>
      <w:sz w:val="30"/>
      <w:szCs w:val="30"/>
    </w:rPr>
  </w:style>
  <w:style w:type="paragraph" w:styleId="Vltozat">
    <w:name w:val="Revision"/>
    <w:hidden w:val="1"/>
    <w:uiPriority w:val="99"/>
    <w:semiHidden w:val="1"/>
    <w:rsid w:val="00B10B8D"/>
    <w:pPr>
      <w:spacing w:line="240" w:lineRule="auto"/>
    </w:pPr>
  </w:style>
  <w:style w:type="paragraph" w:styleId="Listaszerbekezds">
    <w:name w:val="List Paragraph"/>
    <w:basedOn w:val="Norml"/>
    <w:uiPriority w:val="34"/>
    <w:qFormat w:val="1"/>
    <w:rsid w:val="00DA4DD7"/>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tSteCFeDlBZKmvBjd5ivZaJ5Wjg==">AMUW2mUqzNaa62muEpqc1Fu4eXtZD8sf4tNYFVCzsKXN7FXsVzYVJUOZLQmpwgHmyqW/xjuHkLF00iNAdObCgv5PMda2xJ5moFH958DsbPBzLSTEc5NOOTw=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2022-08-12T13:30:00Z</dcterms:created>
</cp:coreProperties>
</file>