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CSOKONAY ÁKOS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Hortobágyi Tibor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Szepesi Rita</w:t>
            </w:r>
          </w:p>
          <w:p w:rsidR="00DB4822" w:rsidRDefault="00DB4822" w:rsidP="00E11062">
            <w:pPr>
              <w:pStyle w:val="Konzulensek"/>
            </w:pPr>
            <w:r w:rsidRPr="00DB4822">
              <w:t>klinikai szakorvos,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Agyboncolások klinikopatológiai analízise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rezümét (a dolgozat rövid tartalmi összefoglalóját) a lent látható szerkesztőben kell kitöltenie.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kitöltés során csak a rezümé tartalmát (szövegét) kell megadnia, a további elemek (pl. szerző(k) neve(i), pályamunka címe, témavezető(k) adata(i) stb.) és a végleges formázás automatikusan kerülnek alkalmazásra. Az egységesség érdekében nem használhat formázást (például félkövér, dőlt, aláhúzott) és egyéb módosításokat. Lehetősége van viszont alsó- és felsőindexek illetve képek és képletek beszúrására.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531652">
    <w:multiLevelType w:val="hybridMultilevel"/>
    <w:lvl w:ilvl="0" w:tplc="725003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531652">
    <w:abstractNumId w:val="4253165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46083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