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LAJOS DEMO</w:t>
            </w:r>
          </w:p>
          <w:p w:rsidR="00C275A3" w:rsidRDefault="00186641" w:rsidP="00C275A3">
            <w:pPr>
              <w:pStyle w:val="Hallgatokepzes"/>
            </w:pPr>
            <w:r w:rsidRPr="002361E2">
              <w:rPr>
                <w:i/>
              </w:rPr>
              <w:t>demo.lajos@teszt.hu</w:t>
            </w:r>
            <w:r w:rsidRPr="002361E2">
              <w:rPr>
                <w:i/>
              </w:rPr>
              <w:br/>
            </w:r>
            <w:r w:rsidR="00A96AEC">
              <w:t>sdvsnvaéls</w:t>
            </w:r>
            <w:r w:rsidR="00A96AEC">
              <w:br/>
            </w:r>
            <w:r w:rsidR="00E77B23">
              <w:t>BSc, 3.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Strándor Demo Dr.</w:t>
            </w:r>
          </w:p>
          <w:p w:rsidR="00DB4822" w:rsidRDefault="00DB4822" w:rsidP="009763E0">
            <w:pPr>
              <w:pStyle w:val="Konzulensektitulus"/>
            </w:pPr>
            <w:r w:rsidRPr="00DB4822">
              <w:t>adjunktus,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OTDK Demo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biennial Conference is actually a series of competition-based conferences organised over a month in spring (usually in April) all over Hungary in various institutions of higher education. These host the 16 sections of the Conference, devoted to various academic fields. The Conference is organised by the Council and is patronised by the ministry responsible for education, the Hungarian Academy of Sciences and other related ministries, national educational institutions, organisations and foundations. The Conference series is a major event for the organising institutions (universities take turns in hosting the sections). It involves thousands of competitors, as well as consultants, supervisors, reviewers, sponsors and other, non-speaking, participants. This great interest testifies to students’ unceasing aspiration for quality education. The sections of the Conference have always been organised with wide-ranging social cooperation, though state funding is still crucial to its existence.</w:t>
      </w:r>
    </w:p>
    <w:p>
      <w:pPr>
        <w:widowControl w:val="on"/>
        <w:pBdr/>
        <w:spacing w:before="240" w:after="240" w:line="240" w:lineRule="auto"/>
        <w:ind w:left="0" w:right="0"/>
        <w:jc w:val="left"/>
      </w:pPr>
      <w:r>
        <w:rPr>
          <w:color w:val="000000"/>
          <w:sz w:val="24"/>
          <w:szCs w:val="24"/>
        </w:rPr>
        <w:t xml:space="preserve">The Conference is competition-based: its sections are the national finals in each academic field, for which students qualify in prior institutional conferences held between the biennial National Conferences. The qualifying rounds, as well as the finals, are also open to students active in the SRS of neighbouring countries and to talented secondary school researchers.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58613">
    <w:multiLevelType w:val="hybridMultilevel"/>
    <w:lvl w:ilvl="0" w:tplc="51345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58613">
    <w:abstractNumId w:val="86958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185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