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TESZT ELEK</w:t>
            </w:r>
          </w:p>
          <w:p w:rsidR="00C275A3" w:rsidRDefault="00186641" w:rsidP="00C275A3">
            <w:pPr>
              <w:pStyle w:val="Hallgatokepzes"/>
            </w:pPr>
            <w:r w:rsidRPr="002361E2">
              <w:rPr>
                <w:i/>
              </w:rPr>
              <w:t>teszt.elek@teszt.hu</w:t>
            </w:r>
            <w:r w:rsidRPr="002361E2">
              <w:rPr>
                <w:i/>
              </w:rPr>
              <w:br/>
            </w:r>
            <w:r w:rsidR="00A96AEC">
              <w:t>lövész</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Téma Vezető</w:t>
            </w:r>
          </w:p>
          <w:p w:rsidR="00DB4822" w:rsidRDefault="00DB4822" w:rsidP="009763E0">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fgnhfnjghm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biennial Conference is actually a series of competition-based conferences organised over a month in spring (usually in April) all over Hungary in various institutions of higher education. These host the 16 sections of the Conference, devoted to various academic fields. The Conference is organised by the Council and is patronised by the ministry responsible for education, the Hungarian Academy of Sciences and other related ministries, national educational institutions, organisations and foundations. The Conference series is a major event for the organising institutions (universities take turns in hosting the sections). It involves thousands of competitors, as well as consultants, supervisors, reviewers, sponsors and other, non-speaking, participants. This great interest testifies to students’ unceasing aspiration for quality education. The sections of the Conference have always been organised with wide-ranging social cooperation, though state funding is still crucial to its existence.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79932">
    <w:multiLevelType w:val="hybridMultilevel"/>
    <w:lvl w:ilvl="0" w:tplc="33389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79932">
    <w:abstractNumId w:val="356799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019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