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PÁL</w:t>
            </w:r>
          </w:p>
          <w:p w:rsidR="00C275A3" w:rsidRDefault="00186641" w:rsidP="00C275A3">
            <w:pPr>
              <w:pStyle w:val="Hallgatokepzes"/>
            </w:pPr>
            <w:r w:rsidRPr="002361E2">
              <w:rPr>
                <w:i/>
              </w:rPr>
              <w:t>valami.semmi@cuc.hu</w:t>
            </w:r>
            <w:r w:rsidRPr="002361E2">
              <w:rPr>
                <w:i/>
              </w:rPr>
              <w:br/>
            </w:r>
            <w:r w:rsidR="00A96AEC">
              <w:t>informatikus</w:t>
            </w:r>
            <w:r w:rsidR="00A96AEC">
              <w:br/>
            </w:r>
            <w:r w:rsidR="00E77B23">
              <w:t>BSc, 9.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Nagy Anna Emilie</w:t>
            </w:r>
          </w:p>
          <w:p w:rsidR="00DB4822" w:rsidRDefault="00DB4822" w:rsidP="009763E0">
            <w:pPr>
              <w:pStyle w:val="Konzulensektitulus"/>
            </w:pPr>
            <w:r w:rsidRPr="00DB4822">
              <w:t>professor dr. DLA habil MTA doktora,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Babe the pick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most institutions of higher education in the country provide an opportunity for students to join Research Societies. While they first emerged in state-run universities, their number has lately increased in religious and private institutions, as well as in those universities in neighbouring countries which have programmes conducted in Hungarian. Similarly, almost all Hungarian art schools – whether independent institutions, faculties or departments – have their own SRS today. The most significant evidence of the success of SRS is provided by the Hungarian Academy of Sciences: if we take a look at the CVs of all its members (both full and associate), most of them participated in SRS programmes. They wrote their first scholarly papers as members of SRS and today many of them are supervisors of current student researchers in the very same organisations. Many of them have been awarded the Gold Medal for Excellence in Supervising or recognized otherwise by the National Council of Student Research Societies as outstanding promoters of student research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65989">
    <w:multiLevelType w:val="hybridMultilevel"/>
    <w:lvl w:ilvl="0" w:tplc="4240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65989">
    <w:abstractNumId w:val="64165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105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